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spacing w:before="120" w:beforeAutospacing="0" w:after="120" w:afterAutospacing="0" w:line="360" w:lineRule="auto"/>
        <w:rPr>
          <w:color w:val="auto"/>
          <w:highlight w:val="none"/>
        </w:rPr>
      </w:pPr>
      <w:r>
        <w:rPr>
          <w:color w:val="auto"/>
          <w:highlight w:val="none"/>
        </w:rPr>
        <w:t xml:space="preserve"> </w:t>
      </w:r>
      <w:r/>
    </w:p>
    <w:p>
      <w:pPr>
        <w:pStyle w:val="1259"/>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25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1259"/>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盐城市公安局大数据支队新一代公安信息网安全访问项目</w:t>
      </w:r>
      <w:r/>
    </w:p>
    <w:p>
      <w:pPr>
        <w:pStyle w:val="1259"/>
        <w:jc w:val="both"/>
        <w:spacing w:before="120" w:beforeAutospacing="0" w:after="120" w:afterAutospacing="0" w:line="360" w:lineRule="auto"/>
        <w:rPr>
          <w:rFonts w:hint="eastAsia" w:ascii="Arial" w:hAnsi="Arial" w:cs="Arial"/>
          <w:b/>
          <w:color w:val="auto"/>
          <w:sz w:val="32"/>
          <w:szCs w:val="32"/>
          <w:highlight w:val="none"/>
          <w:lang w:eastAsia="zh-CN"/>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lang w:eastAsia="zh-CN"/>
        </w:rPr>
        <w:t xml:space="preserve">JSZC-320900-YCZH-G2026-0013</w:t>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r>
      <w:r/>
    </w:p>
    <w:p>
      <w:pPr>
        <w:pStyle w:val="1259"/>
        <w:spacing w:beforeAutospacing="0" w:afterAutospacing="0" w:line="360" w:lineRule="auto"/>
        <w:rPr>
          <w:color w:val="auto"/>
          <w:highlight w:val="none"/>
        </w:rPr>
      </w:pPr>
      <w:r>
        <w:rPr>
          <w:color w:val="auto"/>
          <w:highlight w:val="none"/>
        </w:rPr>
        <w:t xml:space="preserve"> </w:t>
      </w:r>
      <w:r/>
    </w:p>
    <w:p>
      <w:pPr>
        <w:pStyle w:val="1259"/>
        <w:spacing w:beforeAutospacing="0" w:afterAutospacing="0" w:line="360" w:lineRule="auto"/>
        <w:rPr>
          <w:color w:val="auto"/>
          <w:highlight w:val="none"/>
        </w:rPr>
      </w:pPr>
      <w:r>
        <w:rPr>
          <w:color w:val="auto"/>
          <w:highlight w:val="none"/>
        </w:rPr>
        <w:t xml:space="preserve"> </w:t>
      </w:r>
      <w:r/>
    </w:p>
    <w:p>
      <w:pPr>
        <w:pStyle w:val="125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盐城市公安局</w:t>
      </w:r>
      <w:r/>
    </w:p>
    <w:p>
      <w:pPr>
        <w:pStyle w:val="1259"/>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盐城市智禾项目管理有限公司</w:t>
      </w:r>
      <w:r/>
    </w:p>
    <w:p>
      <w:pPr>
        <w:pStyle w:val="1259"/>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8</w:t>
      </w:r>
      <w:r>
        <w:rPr>
          <w:rFonts w:ascii="Arial" w:hAnsi="Arial" w:cs="Arial"/>
          <w:b/>
          <w:color w:val="auto"/>
          <w:sz w:val="32"/>
          <w:szCs w:val="32"/>
          <w:highlight w:val="none"/>
        </w:rPr>
        <w:t xml:space="preserve">月</w:t>
      </w:r>
      <w:r/>
    </w:p>
    <w:p>
      <w:pPr>
        <w:pStyle w:val="125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1259"/>
        <w:jc w:val="center"/>
        <w:spacing w:before="120" w:beforeAutospacing="0" w:after="120" w:afterAutospacing="0" w:line="360" w:lineRule="auto"/>
        <w:rPr>
          <w:color w:val="auto"/>
          <w:highlight w:val="none"/>
        </w:rPr>
      </w:pPr>
      <w:r>
        <w:rPr>
          <w:color w:val="auto"/>
          <w:highlight w:val="none"/>
        </w:rPr>
        <w:t xml:space="preserve"> </w:t>
      </w:r>
      <w:r/>
    </w:p>
    <w:p>
      <w:pPr>
        <w:pStyle w:val="1259"/>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16938516"/>
      <w:r/>
      <w:bookmarkStart w:id="2" w:name="_Toc479757206"/>
      <w:r/>
      <w:bookmarkStart w:id="3" w:name="_Toc523127445"/>
      <w:r/>
      <w:bookmarkStart w:id="4" w:name="_Toc120614210"/>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259"/>
        <w:jc w:val="both"/>
        <w:spacing w:beforeAutospacing="0" w:afterAutospacing="0" w:line="480" w:lineRule="auto"/>
        <w:rPr>
          <w:color w:val="auto"/>
          <w:highlight w:val="none"/>
        </w:rPr>
      </w:pPr>
      <w:r>
        <w:rPr>
          <w:color w:val="auto"/>
          <w:highlight w:val="none"/>
        </w:rPr>
        <w:t xml:space="preserve"> </w:t>
      </w:r>
      <w:r/>
    </w:p>
    <w:p>
      <w:pPr>
        <w:pStyle w:val="125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125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6</w:t>
      </w:r>
      <w:r>
        <w:rPr>
          <w:rFonts w:hint="eastAsia" w:ascii="黑体" w:hAnsi="宋体" w:eastAsia="黑体" w:cs="黑体"/>
          <w:color w:val="auto"/>
          <w:sz w:val="36"/>
          <w:szCs w:val="36"/>
          <w:highlight w:val="none"/>
        </w:rPr>
        <w:t xml:space="preserve">  </w:t>
      </w:r>
      <w:r/>
    </w:p>
    <w:p>
      <w:pPr>
        <w:pStyle w:val="125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20</w:t>
      </w:r>
      <w:r/>
    </w:p>
    <w:p>
      <w:pPr>
        <w:pStyle w:val="125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26</w:t>
      </w:r>
      <w:r/>
    </w:p>
    <w:p>
      <w:pPr>
        <w:pStyle w:val="125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47</w:t>
      </w:r>
      <w:r/>
    </w:p>
    <w:p>
      <w:pPr>
        <w:pStyle w:val="125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52</w:t>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center"/>
        <w:keepNext/>
        <w:spacing w:beforeAutospacing="0" w:afterAutospacing="0"/>
        <w:rPr>
          <w:rFonts w:hint="eastAsia" w:ascii="黑体" w:hAnsi="宋体" w:eastAsia="黑体" w:cs="黑体"/>
          <w:color w:val="auto"/>
          <w:sz w:val="44"/>
          <w:szCs w:val="44"/>
          <w:highlight w:val="none"/>
        </w:rPr>
      </w:pPr>
      <w:r/>
      <w:bookmarkStart w:id="6" w:name="_Toc28359086"/>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1259"/>
        <w:jc w:val="center"/>
        <w:keepNext/>
        <w:spacing w:beforeAutospacing="0" w:afterAutospacing="0"/>
        <w:rPr>
          <w:rFonts w:hint="default" w:eastAsia="黑体"/>
          <w:color w:val="auto"/>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 招标公告</w:t>
      </w:r>
      <w:r/>
    </w:p>
    <w:tbl>
      <w:tblPr>
        <w:tblStyle w:val="1260"/>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5"/>
      </w:tblGrid>
      <w:tr>
        <w:trPr>
          <w:trHeight w:val="30"/>
        </w:trPr>
        <w:tc>
          <w:tcPr>
            <w:tcW w:w="9735" w:type="dxa"/>
            <w:textDirection w:val="lrTb"/>
            <w:noWrap w:val="false"/>
          </w:tcPr>
          <w:p>
            <w:pPr>
              <w:pStyle w:val="1259"/>
              <w:ind w:right="0" w:firstLine="42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u w:val="none"/>
                <w:lang w:val="en-US" w:eastAsia="zh-CN"/>
              </w:rPr>
              <w:suppressLineNumbers w:val="0"/>
            </w:pPr>
            <w:r/>
            <w:bookmarkStart w:id="7" w:name="_Hlk24379207"/>
            <w:r/>
            <w:bookmarkStart w:id="8" w:name="_Toc38985263"/>
            <w:r/>
            <w:bookmarkStart w:id="9" w:name="_Toc28359002"/>
            <w:r/>
            <w:bookmarkStart w:id="10" w:name="_Toc35393790"/>
            <w:r/>
            <w:bookmarkStart w:id="11" w:name="_Toc28359079"/>
            <w:r/>
            <w:bookmarkStart w:id="12" w:name="_Toc35393621"/>
            <w:r>
              <w:rPr>
                <w:rFonts w:hint="eastAsia" w:asciiTheme="minorEastAsia" w:hAnsiTheme="minorEastAsia" w:cstheme="minorEastAsia"/>
                <w:color w:val="auto"/>
                <w:sz w:val="21"/>
                <w:szCs w:val="21"/>
                <w:highlight w:val="none"/>
                <w:u w:val="none"/>
                <w:lang w:val="en-US" w:eastAsia="zh-CN"/>
              </w:rPr>
              <w:t xml:space="preserve">项目概况：</w:t>
            </w:r>
            <w:r/>
          </w:p>
          <w:p>
            <w:pPr>
              <w:pStyle w:val="1259"/>
              <w:ind w:right="0" w:firstLine="42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b/>
                <w:color w:val="auto"/>
                <w:sz w:val="21"/>
                <w:szCs w:val="21"/>
                <w:highlight w:val="none"/>
                <w:vertAlign w:val="baseline"/>
              </w:rPr>
              <w:suppressLineNumbers w:val="0"/>
            </w:pPr>
            <w:r>
              <w:rPr>
                <w:rFonts w:hint="eastAsia" w:asciiTheme="minorEastAsia" w:hAnsiTheme="minorEastAsia" w:eastAsiaTheme="minorEastAsia" w:cstheme="minorEastAsia"/>
                <w:color w:val="auto"/>
                <w:sz w:val="21"/>
                <w:szCs w:val="21"/>
                <w:highlight w:val="none"/>
                <w:u w:val="single"/>
                <w:lang w:val="en-US" w:eastAsia="zh-CN"/>
              </w:rPr>
              <w:t xml:space="preserve">盐城市公安局大数据支队新一代公安信息网安全访问项目</w:t>
            </w:r>
            <w:r>
              <w:rPr>
                <w:rFonts w:hint="eastAsia" w:asciiTheme="minorEastAsia" w:hAnsiTheme="minorEastAsia" w:eastAsiaTheme="minorEastAsia" w:cstheme="minorEastAsia"/>
                <w:color w:val="auto"/>
                <w:sz w:val="21"/>
                <w:szCs w:val="21"/>
                <w:highlight w:val="none"/>
              </w:rPr>
              <w:t xml:space="preserve">招标项目的潜在投标人</w:t>
            </w:r>
            <w:r>
              <w:rPr>
                <w:rFonts w:hint="eastAsia" w:asciiTheme="minorEastAsia" w:hAnsiTheme="minorEastAsia" w:eastAsiaTheme="minorEastAsia" w:cstheme="minorEastAsia"/>
                <w:color w:val="auto"/>
                <w:sz w:val="21"/>
                <w:szCs w:val="21"/>
                <w:highlight w:val="none"/>
                <w:lang w:val="en-US" w:eastAsia="zh-CN"/>
              </w:rPr>
              <w:t xml:space="preserve">应</w:t>
            </w:r>
            <w:r>
              <w:rPr>
                <w:rFonts w:hint="eastAsia" w:asciiTheme="minorEastAsia" w:hAnsiTheme="minorEastAsia" w:eastAsiaTheme="minorEastAsia" w:cstheme="minorEastAsia"/>
                <w:color w:val="auto"/>
                <w:sz w:val="21"/>
                <w:szCs w:val="21"/>
                <w:highlight w:val="none"/>
              </w:rPr>
              <w:t xml:space="preserve">在“苏采云”系统内免费下载（投标人必须在苏采云系统中获取采购文件，方能参与政府采购项目），并于</w:t>
            </w:r>
            <w:r>
              <w:rPr>
                <w:rFonts w:hint="eastAsia" w:asciiTheme="minorEastAsia" w:hAnsiTheme="minorEastAsia" w:eastAsiaTheme="minorEastAsia" w:cstheme="minorEastAsia"/>
                <w:color w:val="auto"/>
                <w:sz w:val="21"/>
                <w:szCs w:val="21"/>
                <w:highlight w:val="none"/>
                <w:u w:val="single"/>
                <w:lang w:val="en-US" w:eastAsia="zh-CN"/>
              </w:rPr>
              <w:t xml:space="preserve">2026</w:t>
            </w:r>
            <w:r>
              <w:rPr>
                <w:rFonts w:hint="eastAsia" w:asciiTheme="minorEastAsia" w:hAnsiTheme="minorEastAsia" w:eastAsiaTheme="minorEastAsia" w:cstheme="minorEastAsia"/>
                <w:color w:val="auto"/>
                <w:sz w:val="21"/>
                <w:szCs w:val="21"/>
                <w:highlight w:val="none"/>
                <w:u w:val="single"/>
              </w:rPr>
              <w:t xml:space="preserve">年</w:t>
            </w:r>
            <w:r>
              <w:rPr>
                <w:rFonts w:hint="eastAsia" w:asciiTheme="minorEastAsia" w:hAnsiTheme="minorEastAsia" w:cstheme="minorEastAsia"/>
                <w:color w:val="auto"/>
                <w:sz w:val="21"/>
                <w:szCs w:val="21"/>
                <w:highlight w:val="none"/>
                <w:u w:val="single"/>
                <w:lang w:val="en-US" w:eastAsia="zh-CN"/>
              </w:rPr>
              <w:t xml:space="preserve">9</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cstheme="minorEastAsia"/>
                <w:color w:val="auto"/>
                <w:sz w:val="21"/>
                <w:szCs w:val="21"/>
                <w:highlight w:val="none"/>
                <w:u w:val="single"/>
                <w:lang w:val="en-US" w:eastAsia="zh-CN"/>
              </w:rPr>
              <w:t xml:space="preserve">07</w:t>
            </w:r>
            <w:r>
              <w:rPr>
                <w:rFonts w:hint="eastAsia" w:asciiTheme="minorEastAsia" w:hAnsiTheme="minorEastAsia" w:eastAsiaTheme="minorEastAsia" w:cstheme="minorEastAsia"/>
                <w:color w:val="auto"/>
                <w:sz w:val="21"/>
                <w:szCs w:val="21"/>
                <w:highlight w:val="none"/>
                <w:u w:val="single"/>
              </w:rPr>
              <w:t xml:space="preserve">日</w:t>
            </w:r>
            <w:r>
              <w:rPr>
                <w:rFonts w:hint="eastAsia" w:asciiTheme="minorEastAsia" w:hAnsiTheme="minorEastAsia" w:cstheme="minorEastAsia"/>
                <w:color w:val="auto"/>
                <w:sz w:val="21"/>
                <w:szCs w:val="21"/>
                <w:highlight w:val="none"/>
                <w:u w:val="single"/>
                <w:lang w:val="en-US" w:eastAsia="zh-CN"/>
              </w:rPr>
              <w:t xml:space="preserve">15</w:t>
            </w:r>
            <w:r>
              <w:rPr>
                <w:rFonts w:hint="eastAsia" w:asciiTheme="minorEastAsia" w:hAnsiTheme="minorEastAsia" w:eastAsiaTheme="minorEastAsia" w:cstheme="minorEastAsia"/>
                <w:color w:val="auto"/>
                <w:sz w:val="21"/>
                <w:szCs w:val="21"/>
                <w:highlight w:val="none"/>
                <w:u w:val="single"/>
              </w:rPr>
              <w:t xml:space="preserve">点</w:t>
            </w:r>
            <w:r>
              <w:rPr>
                <w:rFonts w:hint="eastAsia" w:asciiTheme="minorEastAsia" w:hAnsiTheme="minorEastAsia" w:cstheme="minorEastAsia"/>
                <w:color w:val="auto"/>
                <w:sz w:val="21"/>
                <w:szCs w:val="21"/>
                <w:highlight w:val="none"/>
                <w:u w:val="single"/>
                <w:lang w:val="en-US" w:eastAsia="zh-CN"/>
              </w:rPr>
              <w:t xml:space="preserve">00</w:t>
            </w:r>
            <w:r>
              <w:rPr>
                <w:rFonts w:hint="eastAsia" w:asciiTheme="minorEastAsia" w:hAnsiTheme="minorEastAsia" w:eastAsiaTheme="minorEastAsia" w:cstheme="minorEastAsia"/>
                <w:color w:val="auto"/>
                <w:sz w:val="21"/>
                <w:szCs w:val="21"/>
                <w:highlight w:val="none"/>
              </w:rPr>
              <w:t xml:space="preserve">分（北京时间）前递交投标文件。</w:t>
            </w:r>
            <w:r/>
          </w:p>
        </w:tc>
      </w:tr>
    </w:tbl>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color w:val="auto"/>
          <w:sz w:val="21"/>
          <w:szCs w:val="21"/>
          <w:highlight w:val="none"/>
        </w:rPr>
        <w:t xml:space="preserve">一、项目基本情况</w:t>
      </w:r>
      <w:bookmarkEnd w:id="7"/>
      <w:r/>
      <w:bookmarkEnd w:id="8"/>
      <w:r/>
      <w:bookmarkEnd w:id="9"/>
      <w:r/>
      <w:bookmarkEnd w:id="10"/>
      <w:r/>
      <w:bookmarkEnd w:id="11"/>
      <w:r/>
      <w:bookmarkEnd w:id="12"/>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1.项目编号：JSZC-320900-YCZH-G2026-001</w:t>
      </w:r>
      <w:r>
        <w:rPr>
          <w:rFonts w:hint="eastAsia" w:asciiTheme="minorEastAsia" w:hAnsiTheme="minorEastAsia" w:cstheme="minorEastAsia"/>
          <w:color w:val="auto"/>
          <w:sz w:val="21"/>
          <w:szCs w:val="21"/>
          <w:highlight w:val="none"/>
          <w:lang w:val="en-US" w:eastAsia="zh-CN"/>
        </w:rPr>
        <w:t xml:space="preserve">3</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2.项目名称：盐城市公安局大数据支队新一代公安信息网安全访问项目</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3.采购方式：公开招标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4.预算金额：412万元</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5.最高限价：412万元</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6.采购需求（简介）：通过建设新一代公安信息网安全访问项目，实现现有公安网与新一代公安信息网之间数据、应用系统安全访问；详细内容见本招标文件第四章</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7.合同履行期限：</w:t>
      </w:r>
      <w:r>
        <w:rPr>
          <w:rFonts w:hint="eastAsia" w:asciiTheme="minorEastAsia" w:hAnsiTheme="minorEastAsia" w:cstheme="minorEastAsia"/>
          <w:color w:val="auto"/>
          <w:sz w:val="21"/>
          <w:szCs w:val="21"/>
          <w:highlight w:val="none"/>
          <w:lang w:val="en-US" w:eastAsia="zh-CN"/>
        </w:rPr>
        <w:t xml:space="preserve">3年</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8.本项目（否）接受联合体参与招标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3" w:name="_Toc28359003"/>
      <w:r/>
      <w:bookmarkStart w:id="14" w:name="_Toc35393791"/>
      <w:r/>
      <w:bookmarkStart w:id="15" w:name="_Toc38985264"/>
      <w:r/>
      <w:bookmarkStart w:id="16" w:name="_Toc28359080"/>
      <w:r/>
      <w:bookmarkStart w:id="17" w:name="_Toc35393622"/>
      <w:r>
        <w:rPr>
          <w:rFonts w:hint="eastAsia" w:asciiTheme="minorEastAsia" w:hAnsiTheme="minorEastAsia" w:eastAsiaTheme="minorEastAsia" w:cstheme="minorEastAsia"/>
          <w:color w:val="auto"/>
          <w:sz w:val="21"/>
          <w:szCs w:val="21"/>
          <w:highlight w:val="none"/>
          <w:lang w:val="en-US" w:eastAsia="zh-CN"/>
        </w:rPr>
        <w:t xml:space="preserve">二、申请人的资格要求：</w:t>
      </w:r>
      <w:bookmarkEnd w:id="13"/>
      <w:r/>
      <w:bookmarkEnd w:id="14"/>
      <w:r/>
      <w:bookmarkEnd w:id="15"/>
      <w:r/>
      <w:bookmarkEnd w:id="16"/>
      <w:r/>
      <w:bookmarkEnd w:id="17"/>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1.满足《中华人民共和国政府采购法》第二十二条规定，并提供下列材料：</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1.1 法人或者其他组织的营业执照等证明文件，自然人的身份证明；</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1.2上一年度的财务状况报告（成立不满一年无需提供）；</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1.3具备履行合同所必需的设备和专业技术能力的书面声明；</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1.5参加政府采购活动前3年内在经营活动中没有重大违法记录的书面声明。</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1.6法律、行政法规规定的其他条件。</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1.8单位负责人为同一人或者存在直接控股、管理关系的不同供应商，不得参加同一合同项下的政府采购活动。</w:t>
      </w:r>
      <w:r>
        <w:rPr>
          <w:rFonts w:hint="eastAsia" w:asciiTheme="minorEastAsia" w:hAnsiTheme="minorEastAsia" w:cstheme="minorEastAsia"/>
          <w:color w:val="auto"/>
          <w:sz w:val="21"/>
          <w:szCs w:val="21"/>
          <w:highlight w:val="none"/>
          <w:lang w:val="en-US" w:eastAsia="zh-CN"/>
        </w:rPr>
        <w:t xml:space="preserve">（自行提供，格式自拟）</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2.落实政府采购政策需满足的资格要求：无</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auto"/>
        </w:rPr>
        <w:t xml:space="preserve">本项目的特定资格要求</w:t>
      </w:r>
      <w:r>
        <w:rPr>
          <w:rFonts w:hint="eastAsia" w:asciiTheme="minorEastAsia" w:hAnsiTheme="minorEastAsia" w:eastAsiaTheme="minorEastAsia" w:cstheme="minorEastAsia"/>
          <w:color w:val="auto"/>
          <w:sz w:val="21"/>
          <w:szCs w:val="21"/>
          <w:highlight w:val="none"/>
          <w:shd w:val="clear" w:color="auto" w:fill="auto"/>
          <w:lang w:eastAsia="zh-CN"/>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无</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color w:val="auto"/>
          <w:sz w:val="21"/>
          <w:szCs w:val="21"/>
          <w:highlight w:val="none"/>
        </w:rPr>
        <w:t xml:space="preserve">三、获取招标文件</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8" w:name="_Toc35393793"/>
      <w:r/>
      <w:bookmarkStart w:id="19" w:name="_Toc35393624"/>
      <w:r/>
      <w:bookmarkStart w:id="20" w:name="_Toc28359005"/>
      <w:r/>
      <w:bookmarkStart w:id="21" w:name="_Toc28359082"/>
      <w:r/>
      <w:bookmarkStart w:id="22" w:name="_Toc38985266"/>
      <w:r>
        <w:rPr>
          <w:rFonts w:hint="eastAsia" w:asciiTheme="minorEastAsia" w:hAnsiTheme="minorEastAsia" w:eastAsiaTheme="minorEastAsia" w:cstheme="minorEastAsia"/>
          <w:color w:val="auto"/>
          <w:sz w:val="21"/>
          <w:szCs w:val="21"/>
          <w:highlight w:val="none"/>
          <w:lang w:val="en-US" w:eastAsia="zh-CN"/>
        </w:rPr>
        <w:t xml:space="preserve">1.时间：</w:t>
      </w:r>
      <w:bookmarkEnd w:id="18"/>
      <w:r/>
      <w:bookmarkEnd w:id="19"/>
      <w:r/>
      <w:bookmarkEnd w:id="20"/>
      <w:r/>
      <w:bookmarkEnd w:id="21"/>
      <w:r/>
      <w:bookmarkEnd w:id="22"/>
      <w:r>
        <w:rPr>
          <w:rFonts w:hint="eastAsia" w:asciiTheme="minorEastAsia" w:hAnsiTheme="minorEastAsia" w:eastAsiaTheme="minorEastAsia" w:cstheme="minorEastAsia"/>
          <w:color w:val="auto"/>
          <w:sz w:val="21"/>
          <w:szCs w:val="21"/>
          <w:highlight w:val="none"/>
          <w:lang w:val="en-US" w:eastAsia="zh-CN"/>
        </w:rPr>
        <w:t xml:space="preserve">自招标文件公告发布之日起5个工作日 。</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2.地点：“苏采云”系统内免费下载（投标人必须在苏采云系统中获取采购文件，方能参与政府采购项目）；</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3.方式：本项目采用网上注册登记方式。 </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4.售价：0元</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color w:val="auto"/>
          <w:sz w:val="21"/>
          <w:szCs w:val="21"/>
          <w:highlight w:val="none"/>
        </w:rPr>
        <w:t xml:space="preserve">四、提交投标文件截止时间、开标时间和地点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1.时间：</w:t>
      </w:r>
      <w:r>
        <w:rPr>
          <w:rFonts w:hint="eastAsia" w:asciiTheme="minorEastAsia" w:hAnsi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lang w:val="en-US" w:eastAsia="zh-CN"/>
        </w:rPr>
        <w:t xml:space="preserve">年</w:t>
      </w:r>
      <w:r>
        <w:rPr>
          <w:rFonts w:hint="eastAsia" w:asciiTheme="minorEastAsia" w:hAnsi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lang w:val="en-US" w:eastAsia="zh-CN"/>
        </w:rPr>
        <w:t xml:space="preserve">月</w:t>
      </w:r>
      <w:r>
        <w:rPr>
          <w:rFonts w:hint="eastAsia" w:asciiTheme="minorEastAsia" w:hAnsi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lang w:val="en-US" w:eastAsia="zh-CN"/>
        </w:rPr>
        <w:t xml:space="preserve">日</w:t>
      </w:r>
      <w:r>
        <w:rPr>
          <w:rFonts w:hint="eastAsia" w:asciiTheme="minorEastAsia" w:hAnsiTheme="minorEastAsia" w:cstheme="minorEastAsia"/>
          <w:color w:val="auto"/>
          <w:sz w:val="21"/>
          <w:szCs w:val="21"/>
          <w:highlight w:val="none"/>
          <w:lang w:val="en-US" w:eastAsia="zh-CN"/>
        </w:rPr>
        <w:t xml:space="preserve">15：00</w:t>
      </w:r>
      <w:r>
        <w:rPr>
          <w:rFonts w:hint="eastAsia" w:asciiTheme="minorEastAsia" w:hAnsiTheme="minorEastAsia" w:eastAsiaTheme="minorEastAsia" w:cstheme="minorEastAsia"/>
          <w:color w:val="auto"/>
          <w:sz w:val="21"/>
          <w:szCs w:val="21"/>
          <w:highlight w:val="none"/>
          <w:lang w:val="en-US" w:eastAsia="zh-CN"/>
        </w:rPr>
        <w:t xml:space="preserve">（北京时间）。</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2.地点：苏采云“不见面”开标大厅 。</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_Toc28359007"/>
      <w:r/>
      <w:bookmarkStart w:id="24" w:name="_Toc38985267"/>
      <w:r/>
      <w:bookmarkStart w:id="25" w:name="_Toc28359084"/>
      <w:r/>
      <w:bookmarkStart w:id="26" w:name="_Toc35393794"/>
      <w:r/>
      <w:bookmarkStart w:id="27" w:name="_Toc35393625"/>
      <w:r>
        <w:rPr>
          <w:rFonts w:hint="eastAsia" w:asciiTheme="minorEastAsia" w:hAnsiTheme="minorEastAsia" w:eastAsiaTheme="minorEastAsia" w:cstheme="minorEastAsia"/>
          <w:b/>
          <w:color w:val="auto"/>
          <w:sz w:val="21"/>
          <w:szCs w:val="21"/>
          <w:highlight w:val="none"/>
        </w:rPr>
        <w:t xml:space="preserve">五、公告期限</w:t>
      </w:r>
      <w:bookmarkEnd w:id="23"/>
      <w:r/>
      <w:bookmarkEnd w:id="24"/>
      <w:r/>
      <w:bookmarkEnd w:id="25"/>
      <w:r/>
      <w:bookmarkEnd w:id="26"/>
      <w:r/>
      <w:bookmarkEnd w:id="27"/>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5393626"/>
      <w:r/>
      <w:bookmarkStart w:id="30" w:name="_Toc38985268"/>
      <w:r>
        <w:rPr>
          <w:rFonts w:hint="eastAsia" w:asciiTheme="minorEastAsia" w:hAnsiTheme="minorEastAsia" w:eastAsiaTheme="minorEastAsia" w:cstheme="minorEastAsia"/>
          <w:color w:val="auto"/>
          <w:sz w:val="21"/>
          <w:szCs w:val="21"/>
          <w:highlight w:val="none"/>
          <w:lang w:val="en-US" w:eastAsia="zh-CN"/>
        </w:rPr>
        <w:t xml:space="preserve">自本公告发布之日起5个工作日。</w:t>
      </w:r>
      <w:bookmarkEnd w:id="28"/>
      <w:r/>
      <w:bookmarkEnd w:id="29"/>
      <w:r/>
      <w:bookmarkEnd w:id="30"/>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color w:val="auto"/>
          <w:sz w:val="21"/>
          <w:szCs w:val="21"/>
          <w:highlight w:val="none"/>
          <w:lang w:val="en-US" w:eastAsia="zh-CN"/>
        </w:rPr>
        <w:t xml:space="preserve">六、其他补充事宜</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领取CA和办理电子签章</w:t>
      </w:r>
      <w:r>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rPr>
        <w:t xml:space="preserve">（盐城市府西路1号盐城市公共资源交易中心四楼大厅10号，11号窗口办理，</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 潜在供应商访问电子招标响应交易平台的网络地址和方法：</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2.2 潜在投标人访问“苏采云”系统方法：江苏省政府采购网首页-“苏采云”链接。</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2.3 采购文件（后缀名为“.kedt”）、供应商操作手册及政府采购客户端 工具可通过“苏采云”系统相应链接进行下载。</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2.4 采购代理机构将数据电文形式的采购文件加载至“苏采云”系统，供潜在供应商下载或者查阅。</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如潜在投标人未按上述要求操作，将自行承担所产生的风险。</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3.有关本次招标的事项若存在变动或修改，敬请及时关注代理机构在“中国政府采购网”“江苏政府采购网”“盐城市政府采购网”发布的更正公告。</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4.本次招标不收取投标保证金，不收取质量保证金。</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七、对本次招标提出询问，请按以下方式联系。</w:t>
      </w:r>
      <w:bookmarkEnd w:id="31"/>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1.采购人信息</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名 称：盐城市公安局</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地 址：盐城市平安路9号 </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联系人：江警官              </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联系方式：0515-83220095            </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2.采购代理机构信息</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名 称：盐城市智禾项目管理有限公司</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地 址：盐城市盐都区宏都路华邦国际西厦603室</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联系人：杨女士</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联系电话：</w:t>
      </w:r>
      <w:bookmarkStart w:id="32" w:name="OLE_LINK14"/>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13092197196</w:t>
      </w:r>
      <w:bookmarkEnd w:id="32"/>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3.项目联系方式</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项目联系人：杨女士</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电话：</w:t>
      </w:r>
      <w:bookmarkStart w:id="33" w:name="OLE_LINK34"/>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13092197196</w:t>
      </w:r>
      <w:bookmarkEnd w:id="33"/>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4" w:name="_Toc120614211"/>
      <w:r/>
      <w:r/>
    </w:p>
    <w:p>
      <w:pPr>
        <w:pStyle w:val="1259"/>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4"/>
      <w:r/>
      <w:bookmarkStart w:id="35" w:name="_Toc20823274"/>
      <w:r/>
      <w:bookmarkStart w:id="36" w:name="_Toc120614213"/>
      <w:r/>
      <w:bookmarkStart w:id="37" w:name="_Toc513029202"/>
      <w:r/>
      <w:bookmarkStart w:id="38" w:name="_Toc16938518"/>
      <w:r>
        <w:rPr>
          <w:rFonts w:hint="eastAsia" w:ascii="黑体" w:hAnsi="宋体" w:eastAsia="黑体" w:cs="黑体"/>
          <w:b/>
          <w:color w:val="auto"/>
          <w:sz w:val="44"/>
          <w:szCs w:val="44"/>
          <w:highlight w:val="none"/>
        </w:rPr>
        <w:t xml:space="preserve">投标人须知</w:t>
      </w:r>
      <w:bookmarkEnd w:id="35"/>
      <w:r/>
      <w:bookmarkEnd w:id="36"/>
      <w:r/>
      <w:bookmarkEnd w:id="37"/>
      <w:r/>
      <w:bookmarkEnd w:id="38"/>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39" w:name="_Toc120614214"/>
      <w:r/>
      <w:bookmarkStart w:id="40" w:name="_Toc513029203"/>
      <w:r/>
      <w:bookmarkStart w:id="41" w:name="_Toc20823275"/>
      <w:r/>
      <w:bookmarkStart w:id="42" w:name="_Toc16938519"/>
      <w:r>
        <w:rPr>
          <w:rFonts w:hint="eastAsia" w:asciiTheme="minorEastAsia" w:hAnsiTheme="minorEastAsia" w:eastAsiaTheme="minorEastAsia" w:cstheme="minorEastAsia"/>
          <w:b/>
          <w:bCs/>
          <w:color w:val="auto"/>
          <w:sz w:val="21"/>
          <w:szCs w:val="21"/>
          <w:highlight w:val="none"/>
          <w:lang w:val="en-US" w:eastAsia="zh-CN"/>
        </w:rPr>
        <w:t xml:space="preserve">一、总则</w:t>
      </w:r>
      <w:bookmarkEnd w:id="39"/>
      <w:r/>
      <w:bookmarkEnd w:id="40"/>
      <w:r/>
      <w:bookmarkEnd w:id="41"/>
      <w:r/>
      <w:bookmarkEnd w:id="42"/>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43" w:name="_Toc20823276"/>
      <w:r/>
      <w:bookmarkStart w:id="44" w:name="_Toc16938520"/>
      <w:r/>
      <w:bookmarkStart w:id="45" w:name="_Toc513029204"/>
      <w:r/>
      <w:bookmarkStart w:id="46" w:name="_Toc458694821"/>
      <w:r/>
      <w:bookmarkStart w:id="47" w:name="_Hlt16619475"/>
      <w:r>
        <w:rPr>
          <w:rFonts w:hint="eastAsia" w:asciiTheme="minorEastAsia" w:hAnsiTheme="minorEastAsia" w:eastAsiaTheme="minorEastAsia" w:cstheme="minorEastAsia"/>
          <w:color w:val="auto"/>
          <w:sz w:val="21"/>
          <w:szCs w:val="21"/>
          <w:highlight w:val="none"/>
          <w:lang w:val="en-US" w:eastAsia="zh-CN"/>
        </w:rPr>
        <w:t xml:space="preserve">1</w:t>
      </w:r>
      <w:bookmarkEnd w:id="43"/>
      <w:r>
        <w:rPr>
          <w:rFonts w:hint="eastAsia" w:asciiTheme="minorEastAsia" w:hAnsiTheme="minorEastAsia" w:eastAsiaTheme="minorEastAsia" w:cstheme="minorEastAsia"/>
          <w:color w:val="auto"/>
          <w:sz w:val="21"/>
          <w:szCs w:val="21"/>
          <w:highlight w:val="none"/>
          <w:lang w:val="en-US" w:eastAsia="zh-CN"/>
        </w:rPr>
        <w:t xml:space="preserve">、招标方式</w:t>
      </w:r>
      <w:bookmarkEnd w:id="44"/>
      <w:r/>
      <w:bookmarkEnd w:id="45"/>
      <w:r/>
      <w:bookmarkEnd w:id="46"/>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1.1本次招标采取公开招标方式，本招标文件仅适用于招标公告中所述项目。</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48" w:name="_Toc513029205"/>
      <w:r/>
      <w:bookmarkStart w:id="49" w:name="_Toc16938521"/>
      <w:r/>
      <w:bookmarkStart w:id="50" w:name="_Toc20823277"/>
      <w:r>
        <w:rPr>
          <w:rFonts w:hint="eastAsia" w:asciiTheme="minorEastAsia" w:hAnsiTheme="minorEastAsia" w:eastAsiaTheme="minorEastAsia" w:cstheme="minorEastAsia"/>
          <w:color w:val="auto"/>
          <w:sz w:val="21"/>
          <w:szCs w:val="21"/>
          <w:highlight w:val="none"/>
          <w:lang w:val="en-US" w:eastAsia="zh-CN"/>
        </w:rPr>
        <w:t xml:space="preserve">2、合格的投标人</w:t>
      </w:r>
      <w:bookmarkEnd w:id="48"/>
      <w:r/>
      <w:bookmarkEnd w:id="49"/>
      <w:r/>
      <w:bookmarkEnd w:id="50"/>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2.1满足招标公告中供应商的资格要求的规定。</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2.2满足本文件实质性要求和条件的规定。</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51" w:name="_Toc20823278"/>
      <w:r/>
      <w:bookmarkStart w:id="52" w:name="_Toc513029206"/>
      <w:r/>
      <w:bookmarkStart w:id="53" w:name="_Toc16938522"/>
      <w:r>
        <w:rPr>
          <w:rFonts w:hint="eastAsia" w:asciiTheme="minorEastAsia" w:hAnsiTheme="minorEastAsia" w:eastAsiaTheme="minorEastAsia" w:cstheme="minorEastAsia"/>
          <w:color w:val="auto"/>
          <w:sz w:val="21"/>
          <w:szCs w:val="21"/>
          <w:highlight w:val="none"/>
          <w:lang w:val="en-US" w:eastAsia="zh-CN"/>
        </w:rPr>
        <w:t xml:space="preserve">3、适用法律</w:t>
      </w:r>
      <w:bookmarkEnd w:id="51"/>
      <w:r/>
      <w:bookmarkEnd w:id="52"/>
      <w:r/>
      <w:bookmarkEnd w:id="53"/>
      <w:r>
        <w:rPr>
          <w:rFonts w:hint="eastAsia" w:asciiTheme="minorEastAsia" w:hAnsiTheme="minorEastAsia" w:eastAsiaTheme="minorEastAsia" w:cstheme="minorEastAsia"/>
          <w:color w:val="auto"/>
          <w:sz w:val="21"/>
          <w:szCs w:val="21"/>
          <w:highlight w:val="none"/>
          <w:lang w:val="en-US" w:eastAsia="zh-CN"/>
        </w:rPr>
        <w:t xml:space="preserve">和标准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3.1本次招标及由此产生的合同受中华人民共和国有关的法律法规制约和保护。</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3.2在本项目政府采购活动过程中，如果所执行的标准有更新的，按照最新标准执行。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54" w:name="_Toc16938523"/>
      <w:r/>
      <w:bookmarkStart w:id="55" w:name="_Toc513029207"/>
      <w:r/>
      <w:bookmarkStart w:id="56" w:name="_Toc20823279"/>
      <w:r/>
      <w:bookmarkStart w:id="57" w:name="_Toc462564067"/>
      <w:r>
        <w:rPr>
          <w:rFonts w:hint="eastAsia" w:asciiTheme="minorEastAsia" w:hAnsiTheme="minorEastAsia" w:eastAsiaTheme="minorEastAsia" w:cstheme="minorEastAsia"/>
          <w:color w:val="auto"/>
          <w:sz w:val="21"/>
          <w:szCs w:val="21"/>
          <w:highlight w:val="none"/>
          <w:lang w:val="en-US" w:eastAsia="zh-CN"/>
        </w:rPr>
        <w:t xml:space="preserve">4、投标费用</w:t>
      </w:r>
      <w:bookmarkEnd w:id="54"/>
      <w:r/>
      <w:bookmarkEnd w:id="55"/>
      <w:r/>
      <w:bookmarkEnd w:id="56"/>
      <w:r/>
      <w:bookmarkEnd w:id="57"/>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4.1投标人应自行承担所有与参加投标有关的费用，无论投标过程中的做法和结果如何，代理机构在任何情况下均无义务和责任承担这些费用。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4.2本次招标代理机构和采购人不收取标书工本费。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4.3本项目代理服务费由项目中标单位支付，代理服务费收费标准按照《江苏省政府采购代理服务收费指导意见》的通知（苏政采协【2024】20号）收费标准的43.5%计取，由中标人领取中标通知书前，向代理公司支付，请投标人考虑在投标报价中。</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5、招标文件的约束力</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5.1投标人一旦参加本项目采购活动，即被认为接受了本招标文件的规定和约束。</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58" w:name="_Toc513029209"/>
      <w:r/>
      <w:bookmarkStart w:id="59" w:name="_Toc16938525"/>
      <w:r/>
      <w:bookmarkStart w:id="60" w:name="_Toc20823281"/>
      <w:r/>
      <w:bookmarkStart w:id="61" w:name="_Toc120614215"/>
      <w:r>
        <w:rPr>
          <w:rFonts w:hint="eastAsia" w:asciiTheme="minorEastAsia" w:hAnsiTheme="minorEastAsia" w:eastAsiaTheme="minorEastAsia" w:cstheme="minorEastAsia"/>
          <w:b/>
          <w:bCs/>
          <w:color w:val="auto"/>
          <w:sz w:val="21"/>
          <w:szCs w:val="21"/>
          <w:highlight w:val="none"/>
          <w:lang w:val="en-US" w:eastAsia="zh-CN"/>
        </w:rPr>
        <w:t xml:space="preserve">二、招标文件</w:t>
      </w:r>
      <w:bookmarkEnd w:id="58"/>
      <w:r/>
      <w:bookmarkEnd w:id="59"/>
      <w:r/>
      <w:bookmarkEnd w:id="60"/>
      <w:r/>
      <w:bookmarkEnd w:id="61"/>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62" w:name="_Toc20823282"/>
      <w:r/>
      <w:bookmarkStart w:id="63" w:name="_Toc513029210"/>
      <w:r/>
      <w:bookmarkStart w:id="64" w:name="_Toc16938526"/>
      <w:r>
        <w:rPr>
          <w:rFonts w:hint="eastAsia" w:asciiTheme="minorEastAsia" w:hAnsiTheme="minorEastAsia" w:eastAsiaTheme="minorEastAsia" w:cstheme="minorEastAsia"/>
          <w:color w:val="auto"/>
          <w:sz w:val="21"/>
          <w:szCs w:val="21"/>
          <w:highlight w:val="none"/>
          <w:lang w:val="en-US" w:eastAsia="zh-CN"/>
        </w:rPr>
        <w:t xml:space="preserve">6、招标文件构成</w:t>
      </w:r>
      <w:bookmarkEnd w:id="62"/>
      <w:r/>
      <w:bookmarkEnd w:id="63"/>
      <w:r/>
      <w:bookmarkEnd w:id="64"/>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6.1 招标文件由以下部分组成：</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（1）招标公告</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（2）投标人须知</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（3）合同文本</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（4）采购需求</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（5）评标方法与评标标准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（6）投标文件格式</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请仔细检查招标文件是否齐全，如有缺漏请立即与代理机构联系解决。</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65" w:name="_Toc20823283"/>
      <w:r/>
      <w:bookmarkStart w:id="66" w:name="_Toc462564070"/>
      <w:r/>
      <w:bookmarkStart w:id="67" w:name="_Toc513029211"/>
      <w:r/>
      <w:bookmarkStart w:id="68" w:name="_Toc16938527"/>
      <w:r>
        <w:rPr>
          <w:rFonts w:hint="eastAsia" w:asciiTheme="minorEastAsia" w:hAnsiTheme="minorEastAsia" w:eastAsiaTheme="minorEastAsia" w:cstheme="minorEastAsia"/>
          <w:color w:val="auto"/>
          <w:sz w:val="21"/>
          <w:szCs w:val="21"/>
          <w:highlight w:val="none"/>
          <w:lang w:val="en-US" w:eastAsia="zh-CN"/>
        </w:rPr>
        <w:t xml:space="preserve">7、招标文件的澄清</w:t>
      </w:r>
      <w:bookmarkEnd w:id="65"/>
      <w:r/>
      <w:bookmarkEnd w:id="66"/>
      <w:r/>
      <w:bookmarkEnd w:id="67"/>
      <w:r/>
      <w:bookmarkEnd w:id="68"/>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7.1任何要求对招标文件进行澄清的投标人，应在投标截止期十日前按招标公告中的通讯地址，以书面形式通知代理机构。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69" w:name="_Toc513029212"/>
      <w:r/>
      <w:bookmarkStart w:id="70" w:name="_Toc20823284"/>
      <w:r/>
      <w:bookmarkStart w:id="71" w:name="_Toc16938528"/>
      <w:r/>
      <w:bookmarkStart w:id="72" w:name="_Toc462564071"/>
      <w:r>
        <w:rPr>
          <w:rFonts w:hint="eastAsia" w:asciiTheme="minorEastAsia" w:hAnsiTheme="minorEastAsia" w:eastAsiaTheme="minorEastAsia" w:cstheme="minorEastAsia"/>
          <w:color w:val="auto"/>
          <w:sz w:val="21"/>
          <w:szCs w:val="21"/>
          <w:highlight w:val="none"/>
          <w:lang w:val="en-US" w:eastAsia="zh-CN"/>
        </w:rPr>
        <w:t xml:space="preserve">8、招标文件的修改</w:t>
      </w:r>
      <w:bookmarkEnd w:id="69"/>
      <w:r/>
      <w:bookmarkEnd w:id="70"/>
      <w:r/>
      <w:bookmarkEnd w:id="71"/>
      <w:r/>
      <w:bookmarkEnd w:id="72"/>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8.1在投标截止时间前，代理机构可以对招标文件进行修改。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8.2代理机构有权按照法定的要求推迟投标截止日期和开标日期。</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8.3招标文件的修改将在中国政府采购网、江苏政府采购网、盐城市政府采购网公布，补充文件将作为招标文件的组成部分，并对投</w:t>
      </w:r>
      <w:r>
        <w:rPr>
          <w:rFonts w:hint="eastAsia" w:asciiTheme="minorEastAsia" w:hAnsiTheme="minorEastAsia" w:eastAsiaTheme="minorEastAsia" w:cstheme="minorEastAsia"/>
          <w:color w:val="auto"/>
          <w:sz w:val="21"/>
          <w:szCs w:val="21"/>
          <w:highlight w:val="none"/>
        </w:rPr>
        <w:t xml:space="preserve">标人具有约束力。</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73" w:name="_Toc120614216"/>
      <w:r/>
      <w:bookmarkStart w:id="74" w:name="_Toc513029213"/>
      <w:r/>
      <w:bookmarkStart w:id="75" w:name="_Toc20823285"/>
      <w:r/>
      <w:bookmarkStart w:id="76" w:name="_Toc16938529"/>
      <w:r/>
      <w:bookmarkStart w:id="77" w:name="_Toc462564072"/>
      <w:r>
        <w:rPr>
          <w:rFonts w:hint="eastAsia" w:asciiTheme="minorEastAsia" w:hAnsiTheme="minorEastAsia" w:eastAsiaTheme="minorEastAsia" w:cstheme="minorEastAsia"/>
          <w:b/>
          <w:bCs/>
          <w:color w:val="auto"/>
          <w:sz w:val="21"/>
          <w:szCs w:val="21"/>
          <w:highlight w:val="none"/>
          <w:lang w:val="en-US" w:eastAsia="zh-CN"/>
        </w:rPr>
        <w:t xml:space="preserve">三、投标文件的编制</w:t>
      </w:r>
      <w:bookmarkEnd w:id="73"/>
      <w:r/>
      <w:bookmarkEnd w:id="74"/>
      <w:r/>
      <w:bookmarkEnd w:id="75"/>
      <w:r/>
      <w:bookmarkEnd w:id="76"/>
      <w:r/>
      <w:bookmarkEnd w:id="77"/>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78" w:name="_Toc16938530"/>
      <w:r/>
      <w:bookmarkStart w:id="79" w:name="_Toc462564073"/>
      <w:r/>
      <w:bookmarkStart w:id="80" w:name="_Toc513029214"/>
      <w:r/>
      <w:bookmarkStart w:id="81" w:name="_Toc20823286"/>
      <w:r>
        <w:rPr>
          <w:rFonts w:hint="eastAsia" w:asciiTheme="minorEastAsia" w:hAnsiTheme="minorEastAsia" w:eastAsiaTheme="minorEastAsia" w:cstheme="minorEastAsia"/>
          <w:color w:val="auto"/>
          <w:sz w:val="21"/>
          <w:szCs w:val="21"/>
          <w:highlight w:val="none"/>
          <w:lang w:val="en-US" w:eastAsia="zh-CN"/>
        </w:rPr>
        <w:t xml:space="preserve">9、投标文件的语言及度量衡单位</w:t>
      </w:r>
      <w:bookmarkEnd w:id="78"/>
      <w:r/>
      <w:bookmarkEnd w:id="79"/>
      <w:r/>
      <w:bookmarkEnd w:id="80"/>
      <w:r/>
      <w:bookmarkEnd w:id="81"/>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9.1投标人提交的投标文件以及投标人与代理机构就有关投标的所有来往通知、函件和文件均应使用</w:t>
      </w:r>
      <w:r>
        <w:rPr>
          <w:rFonts w:hint="eastAsia" w:asciiTheme="minorEastAsia" w:hAnsiTheme="minorEastAsia" w:eastAsiaTheme="minorEastAsia" w:cstheme="minorEastAsia"/>
          <w:b/>
          <w:bCs/>
          <w:color w:val="auto"/>
          <w:sz w:val="21"/>
          <w:szCs w:val="21"/>
          <w:highlight w:val="none"/>
          <w:lang w:val="en-US" w:eastAsia="zh-CN"/>
        </w:rPr>
        <w:t xml:space="preserve">简体中文</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9.2除技术性能另有规定外，投标文件所使用的度量衡单位，均须采用国家法定计量单位。</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82" w:name="_Toc16938531"/>
      <w:r/>
      <w:bookmarkStart w:id="83" w:name="_Toc462564074"/>
      <w:r/>
      <w:bookmarkStart w:id="84" w:name="_Toc513029215"/>
      <w:r/>
      <w:bookmarkStart w:id="85" w:name="_Toc20823287"/>
      <w:r>
        <w:rPr>
          <w:rFonts w:hint="eastAsia" w:asciiTheme="minorEastAsia" w:hAnsiTheme="minorEastAsia" w:eastAsiaTheme="minorEastAsia" w:cstheme="minorEastAsia"/>
          <w:color w:val="auto"/>
          <w:sz w:val="21"/>
          <w:szCs w:val="21"/>
          <w:highlight w:val="none"/>
          <w:lang w:val="en-US" w:eastAsia="zh-CN"/>
        </w:rPr>
        <w:t xml:space="preserve">10、投标文件构成</w:t>
      </w:r>
      <w:bookmarkEnd w:id="82"/>
      <w:r/>
      <w:bookmarkEnd w:id="83"/>
      <w:r/>
      <w:bookmarkEnd w:id="84"/>
      <w:r/>
      <w:bookmarkEnd w:id="85"/>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10.2如标书制作工具中格式和内容与“中国政府采购网”“江苏政府采购网”“盐城市政府采购网”发布的招标文件不一致，请以</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中国政府采购网”“江苏政府采购网”“盐城市政府采购网”发布的招标文件为准。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86" w:name="_Toc513029219"/>
      <w:r/>
      <w:bookmarkStart w:id="87" w:name="_Toc513029216"/>
      <w:r/>
      <w:bookmarkStart w:id="88" w:name="_Toc14577355"/>
      <w:r/>
      <w:bookmarkStart w:id="89" w:name="_Toc14577357"/>
      <w:r/>
      <w:bookmarkStart w:id="90" w:name="_Toc14577354"/>
      <w:r/>
      <w:bookmarkStart w:id="91" w:name="_Toc49090509"/>
      <w:r/>
      <w:bookmarkStart w:id="92" w:name="_Toc49090508"/>
      <w:r/>
      <w:bookmarkStart w:id="93" w:name="_Toc49090507"/>
      <w:r/>
      <w:bookmarkStart w:id="94" w:name="_Hlt26954838"/>
      <w:r/>
      <w:bookmarkStart w:id="95" w:name="_Hlt26670360"/>
      <w:r/>
      <w:bookmarkStart w:id="96" w:name="_Hlt26668975"/>
      <w:r>
        <w:rPr>
          <w:rFonts w:hint="eastAsia" w:asciiTheme="minorEastAsia" w:hAnsiTheme="minorEastAsia" w:eastAsiaTheme="minorEastAsia" w:cstheme="minorEastAsia"/>
          <w:color w:val="auto"/>
          <w:sz w:val="21"/>
          <w:szCs w:val="21"/>
          <w:highlight w:val="none"/>
          <w:lang w:val="en-US" w:eastAsia="zh-CN"/>
        </w:rPr>
        <w:t xml:space="preserve">11、证明投标人及投标标的符合招标文件规定的文件</w:t>
      </w:r>
      <w:bookmarkEnd w:id="86"/>
      <w:r/>
      <w:bookmarkEnd w:id="87"/>
      <w:r/>
      <w:bookmarkEnd w:id="88"/>
      <w:r/>
      <w:bookmarkEnd w:id="89"/>
      <w:r/>
      <w:bookmarkEnd w:id="90"/>
      <w:r/>
      <w:bookmarkEnd w:id="91"/>
      <w:r/>
      <w:bookmarkEnd w:id="92"/>
      <w:r/>
      <w:bookmarkEnd w:id="93"/>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11.1投标人应按照招标文件要求提交证明文件，证明其及投标标的符合招标文件规定。</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11.2招标文件对证明文件无明确形式要求的，证明文件可以以文字资料、图纸和数据等形式提交。</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12、投标分项报价表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12.1投标人应按照招标文件规定格式填报投标分项报价表。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12.2投标货币。投标文件中的单价和总价无特殊规定的采用人民币报价，以元为单位标注。招标文件中另有规定的按规定执行。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97" w:name="_Hlt26954846"/>
      <w:r/>
      <w:bookmarkStart w:id="98" w:name="_Hlt26954731"/>
      <w:r/>
      <w:bookmarkStart w:id="99" w:name="_Hlt26670482"/>
      <w:r/>
      <w:bookmarkStart w:id="100" w:name="_Hlt26670486"/>
      <w:r/>
      <w:bookmarkStart w:id="101" w:name="_Hlt26954848"/>
      <w:r>
        <w:rPr>
          <w:rFonts w:hint="eastAsia" w:asciiTheme="minorEastAsia" w:hAnsiTheme="minorEastAsia" w:eastAsiaTheme="minorEastAsia" w:cstheme="minorEastAsia"/>
          <w:color w:val="auto"/>
          <w:sz w:val="21"/>
          <w:szCs w:val="21"/>
          <w:highlight w:val="none"/>
          <w:lang w:val="en-US" w:eastAsia="zh-CN"/>
        </w:rPr>
        <w:t xml:space="preserve">13、技术要求响应及偏离表、商务要求响应及偏离表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13.1投标人需对招标文件中的技术要求与商务要求逐项作出响应或偏离，并说明原因。</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13.2投标人可在投标文件中提供认为需要的其他技术文件或说明。</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14、服务承诺、培训计划、人员安排及其他</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14.1投标人需根据招标文件要求提供有关售后服务的管理制度，售后服务机构的分布情况，售后服务人员的数量、素质、技术水平及售后服务的反应能力等。</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14.2投标人需根据招标文件要求提供培训计划。</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14.3投标人需根据招标文件要求提供所投标的的主要组成部分、功能设计、实现思路及关键技术等。</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02" w:name="_Toc14577359"/>
      <w:r/>
      <w:bookmarkStart w:id="103" w:name="_Toc49090510"/>
      <w:r>
        <w:rPr>
          <w:rFonts w:hint="eastAsia" w:asciiTheme="minorEastAsia" w:hAnsiTheme="minorEastAsia" w:eastAsiaTheme="minorEastAsia" w:cstheme="minorEastAsia"/>
          <w:color w:val="auto"/>
          <w:sz w:val="21"/>
          <w:szCs w:val="21"/>
          <w:highlight w:val="none"/>
          <w:lang w:val="en-US" w:eastAsia="zh-CN"/>
        </w:rPr>
        <w:t xml:space="preserve">15、投标函和开标一览表</w:t>
      </w:r>
      <w:bookmarkEnd w:id="102"/>
      <w:r/>
      <w:bookmarkEnd w:id="103"/>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15.1投标人应按照招标文件中提供的格式完整、正确填写投标函、开标一览表。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15.2对于采用货币报价的项目，开标一览表中的投标总报价应与投标分项报价表中的投标总报价一致，如不一致，不作为无效投标处理，但评标时按开标一览表中价格为准。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04" w:name="_Toc49090511"/>
      <w:r/>
      <w:bookmarkStart w:id="105" w:name="_Toc14577360"/>
      <w:r>
        <w:rPr>
          <w:rFonts w:hint="eastAsia" w:asciiTheme="minorEastAsia" w:hAnsiTheme="minorEastAsia" w:eastAsiaTheme="minorEastAsia" w:cstheme="minorEastAsia"/>
          <w:color w:val="auto"/>
          <w:sz w:val="21"/>
          <w:szCs w:val="21"/>
          <w:highlight w:val="none"/>
          <w:lang w:val="en-US" w:eastAsia="zh-CN"/>
        </w:rPr>
        <w:t xml:space="preserve">16、投标有效期</w:t>
      </w:r>
      <w:bookmarkEnd w:id="104"/>
      <w:r/>
      <w:bookmarkEnd w:id="105"/>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16.1投标有效期为代理机构规定的开标之日后</w:t>
      </w:r>
      <w:r>
        <w:rPr>
          <w:rFonts w:hint="eastAsia" w:asciiTheme="minorEastAsia" w:hAnsiTheme="minorEastAsia" w:eastAsiaTheme="minorEastAsia" w:cstheme="minorEastAsia"/>
          <w:b/>
          <w:bCs/>
          <w:color w:val="auto"/>
          <w:sz w:val="21"/>
          <w:szCs w:val="21"/>
          <w:highlight w:val="none"/>
          <w:u w:val="single"/>
          <w:lang w:val="en-US" w:eastAsia="zh-CN"/>
        </w:rPr>
        <w:t xml:space="preserve">九十（90）天</w:t>
      </w:r>
      <w:r>
        <w:rPr>
          <w:rFonts w:hint="eastAsia" w:asciiTheme="minorEastAsia" w:hAnsiTheme="minorEastAsia" w:eastAsiaTheme="minorEastAsia" w:cstheme="minorEastAsia"/>
          <w:color w:val="auto"/>
          <w:sz w:val="21"/>
          <w:szCs w:val="21"/>
          <w:highlight w:val="none"/>
          <w:lang w:val="en-US" w:eastAsia="zh-CN"/>
        </w:rPr>
        <w:t xml:space="preserve">。投标有效期比规定短的将被视为未实质性响应招标文件而予以拒绝。</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17、投标有效期的延长</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Theme="minorEastAsia" w:hAnsiTheme="minorEastAsia" w:eastAsiaTheme="minorEastAsia" w:cstheme="minorEastAsia"/>
          <w:color w:val="auto"/>
          <w:sz w:val="21"/>
          <w:szCs w:val="21"/>
          <w:highlight w:val="none"/>
        </w:rPr>
        <w:t xml:space="preserve">。</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06" w:name="_Toc16938540"/>
      <w:r/>
      <w:bookmarkStart w:id="107" w:name="_Toc20823296"/>
      <w:r/>
      <w:bookmarkStart w:id="108" w:name="_Toc513029224"/>
      <w:r/>
      <w:bookmarkStart w:id="109" w:name="_Toc120614217"/>
      <w:r/>
      <w:bookmarkStart w:id="110" w:name="_Hlt26954739"/>
      <w:r/>
      <w:bookmarkStart w:id="111" w:name="_Hlt26954852"/>
      <w:r>
        <w:rPr>
          <w:rFonts w:hint="eastAsia" w:asciiTheme="minorEastAsia" w:hAnsiTheme="minorEastAsia" w:eastAsiaTheme="minorEastAsia" w:cstheme="minorEastAsia"/>
          <w:b/>
          <w:bCs/>
          <w:color w:val="auto"/>
          <w:sz w:val="21"/>
          <w:szCs w:val="21"/>
          <w:highlight w:val="none"/>
          <w:lang w:val="en-US" w:eastAsia="zh-CN"/>
        </w:rPr>
        <w:t xml:space="preserve">四、投标文件的递交</w:t>
      </w:r>
      <w:bookmarkEnd w:id="106"/>
      <w:r/>
      <w:bookmarkEnd w:id="107"/>
      <w:r/>
      <w:bookmarkEnd w:id="108"/>
      <w:r/>
      <w:bookmarkEnd w:id="109"/>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12" w:name="_Toc20823297"/>
      <w:r/>
      <w:bookmarkStart w:id="113" w:name="_Toc462564084"/>
      <w:r/>
      <w:bookmarkStart w:id="114" w:name="_Toc16938541"/>
      <w:r/>
      <w:bookmarkStart w:id="115" w:name="_Toc513029225"/>
      <w:r>
        <w:rPr>
          <w:rFonts w:hint="eastAsia" w:asciiTheme="minorEastAsia" w:hAnsiTheme="minorEastAsia" w:eastAsiaTheme="minorEastAsia" w:cstheme="minorEastAsia"/>
          <w:color w:val="auto"/>
          <w:sz w:val="21"/>
          <w:szCs w:val="21"/>
          <w:highlight w:val="none"/>
          <w:lang w:val="en-US" w:eastAsia="zh-CN"/>
        </w:rPr>
        <w:t xml:space="preserve">18、电子投标文件</w:t>
      </w:r>
      <w:bookmarkEnd w:id="112"/>
      <w:r/>
      <w:bookmarkEnd w:id="113"/>
      <w:r/>
      <w:bookmarkEnd w:id="114"/>
      <w:r/>
      <w:bookmarkEnd w:id="115"/>
      <w:r>
        <w:rPr>
          <w:rFonts w:hint="eastAsia" w:asciiTheme="minorEastAsia" w:hAnsiTheme="minorEastAsia" w:eastAsiaTheme="minorEastAsia" w:cstheme="minorEastAsia"/>
          <w:color w:val="auto"/>
          <w:sz w:val="21"/>
          <w:szCs w:val="21"/>
          <w:highlight w:val="none"/>
          <w:lang w:val="en-US" w:eastAsia="zh-CN"/>
        </w:rPr>
        <w:t xml:space="preserve">的递交</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18.1投标人应当按照《操作手册》规定，在投标截止时间前制作并上传电子投标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文件。</w:t>
      </w:r>
      <w:bookmarkStart w:id="116" w:name="_Toc20823298"/>
      <w:r/>
      <w:bookmarkEnd w:id="116"/>
      <w:r/>
      <w:bookmarkStart w:id="117" w:name="_Toc16938542"/>
      <w:r/>
      <w:bookmarkEnd w:id="117"/>
      <w:r/>
      <w:bookmarkStart w:id="118" w:name="_Toc513029226"/>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19、投标截止日期</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i/>
          <w:color w:val="auto"/>
          <w:sz w:val="21"/>
          <w:szCs w:val="21"/>
          <w:highlight w:val="none"/>
          <w:u w:val="single"/>
        </w:rPr>
        <w:t xml:space="preserve">19.1投标人上传电子投标文件的时间不得迟于招标公告中规定的投标截止时间。</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投标人应充分考虑到网络环境、网络带宽等风险因素，如因投标人自身原因造成的电子投标文件上传不成功的按照本招标文件第二章第27.1.2条规定做无效投标处理。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19.2代理机构可以按照规定，通过修改招标文件酌情延长投标截止日期，在此情况下，投标人的所有权利和义务以及投标人受制的截止日期均应以延长后新的截止日期为准。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19" w:name="_Toc20823299"/>
      <w:r/>
      <w:bookmarkStart w:id="120" w:name="_Toc16938543"/>
      <w:r/>
      <w:bookmarkStart w:id="121" w:name="_Toc513029227"/>
      <w:r>
        <w:rPr>
          <w:rFonts w:hint="eastAsia" w:asciiTheme="minorEastAsia" w:hAnsiTheme="minorEastAsia" w:eastAsiaTheme="minorEastAsia" w:cstheme="minorEastAsia"/>
          <w:color w:val="auto"/>
          <w:sz w:val="21"/>
          <w:szCs w:val="21"/>
          <w:highlight w:val="none"/>
          <w:lang w:val="en-US" w:eastAsia="zh-CN"/>
        </w:rPr>
        <w:t xml:space="preserve">20、投标文件</w:t>
      </w:r>
      <w:bookmarkEnd w:id="119"/>
      <w:r/>
      <w:bookmarkEnd w:id="120"/>
      <w:r/>
      <w:bookmarkEnd w:id="121"/>
      <w:r>
        <w:rPr>
          <w:rFonts w:hint="eastAsia" w:asciiTheme="minorEastAsia" w:hAnsiTheme="minorEastAsia" w:eastAsiaTheme="minorEastAsia" w:cstheme="minorEastAsia"/>
          <w:color w:val="auto"/>
          <w:sz w:val="21"/>
          <w:szCs w:val="21"/>
          <w:highlight w:val="none"/>
          <w:lang w:val="en-US" w:eastAsia="zh-CN"/>
        </w:rPr>
        <w:t xml:space="preserve">的拒收</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20.1代理机构拒绝接收在其规定的投标截止时间后上传的任何投标文件。</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22" w:name="_Toc20823300"/>
      <w:r/>
      <w:bookmarkStart w:id="123" w:name="_Toc513029228"/>
      <w:r/>
      <w:bookmarkStart w:id="124" w:name="_Toc16938544"/>
      <w:r>
        <w:rPr>
          <w:rFonts w:hint="eastAsia" w:asciiTheme="minorEastAsia" w:hAnsiTheme="minorEastAsia" w:eastAsiaTheme="minorEastAsia" w:cstheme="minorEastAsia"/>
          <w:color w:val="auto"/>
          <w:sz w:val="21"/>
          <w:szCs w:val="21"/>
          <w:highlight w:val="none"/>
          <w:lang w:val="en-US" w:eastAsia="zh-CN"/>
        </w:rPr>
        <w:t xml:space="preserve">21、投标文件的撤回和修改</w:t>
      </w:r>
      <w:bookmarkEnd w:id="122"/>
      <w:r/>
      <w:bookmarkEnd w:id="123"/>
      <w:r/>
      <w:bookmarkEnd w:id="124"/>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21.1投标文件的撤回</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21.1.1电子投标文件的撤回</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投标人可在投标截止时间前，撤回其电子投标文件，具体操作方法见《操作手册》。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21.1.2投标人撤回电子投标文件，则认为其不再参与本项目投标活动。</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21.2投标文件的修改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21.2.1投标人可在投标截止时间前，对其电子投标文件进行修改，具体操作方法见《操作手册》。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21.2.2在投标截止时间之后，投标人不得对其电子投标文件作任何修改。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21.3在投标截止时间至招标文件中规定的投标有效期满之间的这段时间内，投标人不得撤回其投标。</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25" w:name="_Toc513029229"/>
      <w:r/>
      <w:bookmarkStart w:id="126" w:name="_Toc120614218"/>
      <w:r/>
      <w:bookmarkStart w:id="127" w:name="_Toc20823301"/>
      <w:r/>
      <w:bookmarkStart w:id="128" w:name="_Toc16938545"/>
      <w:r>
        <w:rPr>
          <w:rFonts w:hint="eastAsia" w:asciiTheme="minorEastAsia" w:hAnsiTheme="minorEastAsia" w:eastAsiaTheme="minorEastAsia" w:cstheme="minorEastAsia"/>
          <w:b/>
          <w:bCs/>
          <w:color w:val="auto"/>
          <w:sz w:val="21"/>
          <w:szCs w:val="21"/>
          <w:highlight w:val="none"/>
          <w:lang w:val="en-US" w:eastAsia="zh-CN"/>
        </w:rPr>
        <w:t xml:space="preserve">五、开标与评标</w:t>
      </w:r>
      <w:bookmarkEnd w:id="125"/>
      <w:r/>
      <w:bookmarkEnd w:id="126"/>
      <w:r/>
      <w:bookmarkEnd w:id="127"/>
      <w:r/>
      <w:bookmarkEnd w:id="128"/>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29" w:name="_Toc16938546"/>
      <w:r/>
      <w:bookmarkStart w:id="130" w:name="_Toc20823302"/>
      <w:r/>
      <w:bookmarkStart w:id="131" w:name="_Toc513029230"/>
      <w:r>
        <w:rPr>
          <w:rFonts w:hint="eastAsia" w:asciiTheme="minorEastAsia" w:hAnsiTheme="minorEastAsia" w:eastAsiaTheme="minorEastAsia" w:cstheme="minorEastAsia"/>
          <w:color w:val="auto"/>
          <w:sz w:val="21"/>
          <w:szCs w:val="21"/>
          <w:highlight w:val="none"/>
          <w:lang w:val="en-US" w:eastAsia="zh-CN"/>
        </w:rPr>
        <w:t xml:space="preserve">22、开标</w:t>
      </w:r>
      <w:bookmarkEnd w:id="129"/>
      <w:r/>
      <w:bookmarkEnd w:id="130"/>
      <w:r/>
      <w:bookmarkEnd w:id="131"/>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22.1代理机构将在招标公告中规定的时间和地点组织公开开标。投标人应当按照《操作手册》规定，参加开标活动和在苏采云系统规定的时间内对投标文件进行解密。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22.2开标仪式由代理机构组织。苏采云系统将自动对项目进行开标，并宣布各投标人名称和投标价格。</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22.3投标人在开标过程中涉及到的投标文件解密、开标结果确认等工作，应按照《操作手册》规定执行。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32" w:name="_Toc513029231"/>
      <w:r/>
      <w:bookmarkStart w:id="133" w:name="_Toc16938547"/>
      <w:r/>
      <w:bookmarkStart w:id="134" w:name="_Toc20823303"/>
      <w:r>
        <w:rPr>
          <w:rFonts w:hint="eastAsia" w:asciiTheme="minorEastAsia" w:hAnsiTheme="minorEastAsia" w:eastAsiaTheme="minorEastAsia" w:cstheme="minorEastAsia"/>
          <w:color w:val="auto"/>
          <w:sz w:val="21"/>
          <w:szCs w:val="21"/>
          <w:highlight w:val="none"/>
          <w:lang w:val="en-US" w:eastAsia="zh-CN"/>
        </w:rPr>
        <w:t xml:space="preserve">23、评标委员会</w:t>
      </w:r>
      <w:bookmarkEnd w:id="132"/>
      <w:r/>
      <w:bookmarkEnd w:id="133"/>
      <w:r/>
      <w:bookmarkEnd w:id="134"/>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23.1开标后，代理机构将立即组织评标委员会（以下简称评委会）进行评标。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23.2评委会由采购人代表和有关技术、经济等方面的专家组成，且人员构成符合政府采购有关规定。</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23.3评委会独立工作，负责评审所有投标文件并确定中标候选人。</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24．评标过程的保密与公正</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24.1凡是与审查、澄清、评价和比较投标的有关资料以及授标建议等，采购人、评委、代理机构均不得向投标人或与评标无关的其他人员透露。</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24.2在评标过程中，投标人不得以任何行为影响评标过程，否则其投标文件将被作为无效投标文件。</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24.3代理机构和评标委员会不向未中标的投标人解释未中标原因，也不公布评标过程中的相关细节。</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24.4采用综合评分法的项目，未中标的投标人可于中标结果公告期限届满之日起通过苏采云系统查看自己的评审得分及排序情况。</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35" w:name="_Toc513029232"/>
      <w:r/>
      <w:bookmarkStart w:id="136" w:name="_Toc16938548"/>
      <w:r/>
      <w:bookmarkStart w:id="137" w:name="_Toc20823304"/>
      <w:r>
        <w:rPr>
          <w:rFonts w:hint="eastAsia" w:asciiTheme="minorEastAsia" w:hAnsiTheme="minorEastAsia" w:eastAsiaTheme="minorEastAsia" w:cstheme="minorEastAsia"/>
          <w:color w:val="auto"/>
          <w:sz w:val="21"/>
          <w:szCs w:val="21"/>
          <w:highlight w:val="none"/>
          <w:lang w:val="en-US" w:eastAsia="zh-CN"/>
        </w:rPr>
        <w:t xml:space="preserve">25．投标文件的澄清</w:t>
      </w:r>
      <w:bookmarkEnd w:id="135"/>
      <w:r/>
      <w:bookmarkEnd w:id="136"/>
      <w:r/>
      <w:bookmarkEnd w:id="137"/>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38" w:name="_Toc20823305"/>
      <w:r/>
      <w:bookmarkStart w:id="139" w:name="_Toc513029233"/>
      <w:r/>
      <w:bookmarkStart w:id="140" w:name="_Toc16938549"/>
      <w:r>
        <w:rPr>
          <w:rFonts w:hint="eastAsia" w:asciiTheme="minorEastAsia" w:hAnsiTheme="minorEastAsia" w:eastAsiaTheme="minorEastAsia" w:cstheme="minorEastAsia"/>
          <w:color w:val="auto"/>
          <w:sz w:val="21"/>
          <w:szCs w:val="21"/>
          <w:highlight w:val="none"/>
          <w:lang w:val="en-US" w:eastAsia="zh-CN"/>
        </w:rPr>
        <w:t xml:space="preserve">25.1评标期间，评委会对投标文件中含义不明确、同类问题表述不一致或者有明显文字和计算错误的内容 ，有权要求投标人作出必要的澄清、说明或者补正。</w:t>
      </w:r>
      <w:bookmarkEnd w:id="138"/>
      <w:r/>
      <w:bookmarkEnd w:id="139"/>
      <w:r/>
      <w:bookmarkEnd w:id="140"/>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投标人的澄清、说明或者补正不得超出投标文件的范围或者改变投标文件的实质性内容。</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评标委员会并非对每个投标人都做澄清要求。</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25.3接到评委会澄清、说明和补正要求的投标人如未按规定作出澄清、说明和补正，其风险由投标人自行承担。</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26、对投标文件的初审</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26.1投标文件初审分为资格审查和符合性审查。</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26.1.1资格审查：依据法律法规和招标文件的规定，由采购人对投标文件中的资格证明文件进行审查。资格审查的结论，采购人以书面形式向评委会进行反馈。</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采购人在进行资格性审查的同时，将在“信用中国”网站（www.creditchina.gov.cn）查询投标人的信用记录，以确定投标人是否具备投标资格,查询结果留存并归档。</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26.1.2符合性审查：依据招标文件的规定，由评委会从投标文件的有效性、完整性和对招标文件的响应程度进行审查，以确定是否对招标文件的实质性要求作出响应。</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26.1.3未通过资格审查或符合性审查的投标人，代理机构将在苏采云系统中告知未通过资格审查或符合性审查的原因，评审结束后，代理机构将不再告知未通过资格审查或符合性审查的原因。</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26.3如果投标文件实质上没有响应招标文件的要求，评委会将予以拒绝，投标人不得通过修改或撤销不符合要求的偏离或保留而使其投标成为实质性响应的投标。</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26.4评委会将对确定为实质性响应的投标进行进一步审核，看其是否有计算上或累加上的算术错误，修正错误的原则如下：</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（1）投标文件中开标一览表内容与投标文件中相应内容不一致的，以开标一览表为准。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（2）大写金额和小写金额不一致的，以大写金额为准。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（3）单价金额小数点或者百分比有明显错位的，以开标一览表的总价为准，并修改单价。</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（4）总价金额与按单价汇总金额不一致的，以单价金额计算结果为准。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同时出现两种以上错误的，按照前款规定的顺序修正。</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41" w:name="_Toc16938550"/>
      <w:r/>
      <w:bookmarkStart w:id="142" w:name="_Toc20823306"/>
      <w:r/>
      <w:bookmarkStart w:id="143" w:name="_Toc513029234"/>
      <w:r>
        <w:rPr>
          <w:rFonts w:hint="eastAsia" w:asciiTheme="minorEastAsia" w:hAnsiTheme="minorEastAsia" w:eastAsiaTheme="minorEastAsia" w:cstheme="minorEastAsia"/>
          <w:color w:val="auto"/>
          <w:sz w:val="21"/>
          <w:szCs w:val="21"/>
          <w:highlight w:val="none"/>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1"/>
      <w:r/>
      <w:bookmarkEnd w:id="142"/>
      <w:r/>
      <w:bookmarkEnd w:id="143"/>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非单一产品采购项目，招标文件中将载明其中的核心产品。多家投标人提供的核心产品品牌相同的，按前两款规定处理。</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26.7投标人在开、评标全过程中应保持通信畅通，及时登录苏采云系统查阅、答复相关信息，并安排专人与代理机构及评标委员会联系。</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27、无效投标条款和废标条款</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44" w:name="_Toc20823307"/>
      <w:r/>
      <w:bookmarkStart w:id="145" w:name="_Toc16938551"/>
      <w:r/>
      <w:bookmarkStart w:id="146" w:name="_Toc513029235"/>
      <w:r>
        <w:rPr>
          <w:rFonts w:hint="eastAsia" w:asciiTheme="minorEastAsia" w:hAnsiTheme="minorEastAsia" w:eastAsiaTheme="minorEastAsia" w:cstheme="minorEastAsia"/>
          <w:color w:val="auto"/>
          <w:sz w:val="21"/>
          <w:szCs w:val="21"/>
          <w:highlight w:val="none"/>
          <w:lang w:val="en-US" w:eastAsia="zh-CN"/>
        </w:rPr>
        <w:t xml:space="preserve">27.1无效投标条款</w:t>
      </w:r>
      <w:bookmarkEnd w:id="144"/>
      <w:r/>
      <w:bookmarkEnd w:id="145"/>
      <w:r/>
      <w:bookmarkEnd w:id="146"/>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27.1.1 投标人在苏采云系统规定的时间内未成功解密电子投标文件的。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27.1.2 投标人未按照招标文件要求上传电子投标文件的。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27.1.3同一投标人提交两个（含两个）以上不同的投标报价的。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27.1.4投标人不具备招标文件中规定资格要求的。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27.1.5投标人的报价超过了采购预算或最高限价的。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27.1.6未通过符合性审查的。</w:t>
      </w:r>
      <w:r/>
    </w:p>
    <w:p>
      <w:pPr>
        <w:pStyle w:val="1259"/>
        <w:ind w:left="0" w:right="0" w:firstLine="197"/>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1"/>
          <w:szCs w:val="21"/>
          <w:highlight w:val="none"/>
          <w:lang w:val="en-US" w:eastAsia="zh-CN"/>
        </w:rPr>
        <w:t xml:space="preserve">27.1.7不符合招标文件中规定的实质性要求和条件的</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i/>
          <w:color w:val="auto"/>
          <w:sz w:val="21"/>
          <w:szCs w:val="21"/>
          <w:highlight w:val="none"/>
          <w:u w:val="single"/>
        </w:rPr>
        <w:t xml:space="preserve">本招标文件中斜体且有下划线部分为实质性要求和条件）。</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27.1.9投标文件含有采购人不能接受的附加条件的。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.1.10投标人不能证明其报价合理性的，评</w:t>
      </w:r>
      <w:r>
        <w:rPr>
          <w:rFonts w:hint="eastAsia" w:asciiTheme="minorEastAsia" w:hAnsiTheme="minorEastAsia" w:eastAsiaTheme="minorEastAsia" w:cstheme="minorEastAsia"/>
          <w:color w:val="auto"/>
          <w:sz w:val="21"/>
          <w:szCs w:val="21"/>
          <w:highlight w:val="none"/>
          <w:lang w:val="en-US" w:eastAsia="zh-CN"/>
        </w:rPr>
        <w:t xml:space="preserve">标</w:t>
      </w:r>
      <w:r>
        <w:rPr>
          <w:rFonts w:hint="eastAsia" w:asciiTheme="minorEastAsia" w:hAnsiTheme="minorEastAsia" w:eastAsiaTheme="minorEastAsia" w:cstheme="minorEastAsia"/>
          <w:color w:val="auto"/>
          <w:sz w:val="21"/>
          <w:szCs w:val="21"/>
          <w:highlight w:val="none"/>
        </w:rPr>
        <w:t xml:space="preserve">委员会应当将其作为无效投标处理。</w:t>
      </w:r>
      <w:r/>
    </w:p>
    <w:p>
      <w:pPr>
        <w:pStyle w:val="1259"/>
        <w:ind w:left="0" w:firstLine="198"/>
        <w:jc w:val="both"/>
        <w:pageBreakBefore w:val="0"/>
        <w:spacing w:beforeAutospacing="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（一）评审过程中出现下列情形之一的，评标委员会应当启动异常低价投标审查程序：</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3.投标（响应）报价低于采购项目最高限价45%的，即投标（响应）报价&lt;采购项目最高限价×45%；</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u w:val="single"/>
          <w:lang w:val="en-US" w:eastAsia="zh-CN" w:bidi="ar-SA"/>
        </w:rPr>
      </w:pPr>
      <w:r>
        <w:rPr>
          <w:rFonts w:hint="eastAsia" w:asciiTheme="minorEastAsia" w:hAnsiTheme="minorEastAsia" w:eastAsiaTheme="minorEastAsia" w:cstheme="minorEastAsia"/>
          <w:b/>
          <w:bCs/>
          <w:color w:val="auto"/>
          <w:sz w:val="21"/>
          <w:szCs w:val="21"/>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相关法律法规对供应商报价有规定的，从其规定。</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59"/>
        <w:ind w:left="0" w:right="0" w:firstLine="198"/>
        <w:jc w:val="both"/>
        <w:pageBreakBefore w:val="0"/>
        <w:spacing w:before="0" w:beforeAutospacing="0" w:after="0" w:afterAutospacing="0"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27.1.11本项目采购产品被财政部、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、生态环境部等列入“节能产品品目清单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27.1.12投标文件未按照招标文件要求加盖CA电子公章的。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27.1.13其他法律、法规及本招标文件规定的属无效投标的情形。</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27.2废标条款</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27.2.1符合专业条件的供应商或者对招标文件作实质响应的供应商不足三家的。27.2.2出现影响采购公正的违法、违规行为的。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27.2.3因重大变故，采购任务取消的。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27.2.4评标委员会认定招标文件存在歧义、重大缺陷导致评审工作无法进行。</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27.2.5因苏采云</w:t>
      </w:r>
      <w:r>
        <w:rPr>
          <w:rFonts w:hint="eastAsia" w:asciiTheme="minorEastAsia" w:hAnsiTheme="minorEastAsia" w:eastAsiaTheme="minorEastAsia" w:cstheme="minorEastAsia"/>
          <w:color w:val="auto"/>
          <w:sz w:val="21"/>
          <w:szCs w:val="21"/>
          <w:highlight w:val="none"/>
          <w:lang w:eastAsia="zh-CN"/>
        </w:rPr>
        <w:t xml:space="preserve">系统故障</w:t>
      </w:r>
      <w:r>
        <w:rPr>
          <w:rFonts w:hint="eastAsia" w:asciiTheme="minorEastAsia" w:hAnsiTheme="minorEastAsia" w:eastAsiaTheme="minorEastAsia" w:cstheme="minorEastAsia"/>
          <w:color w:val="auto"/>
          <w:sz w:val="21"/>
          <w:szCs w:val="21"/>
          <w:highlight w:val="none"/>
        </w:rPr>
        <w:t xml:space="preserve">原因造成开标不成功的。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27.3投标截止时间结束后参加投标的供应商不足三家的处理：</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1259"/>
        <w:ind w:left="0" w:right="0" w:firstLine="198"/>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147" w:name="_Toc120614219"/>
      <w:r>
        <w:rPr>
          <w:rFonts w:hint="eastAsia" w:asciiTheme="minorEastAsia" w:hAnsiTheme="minorEastAsia" w:eastAsiaTheme="minorEastAsia" w:cstheme="minorEastAsia"/>
          <w:b/>
          <w:bCs/>
          <w:color w:val="auto"/>
          <w:sz w:val="21"/>
          <w:szCs w:val="21"/>
          <w:highlight w:val="none"/>
          <w:lang w:val="en-US" w:eastAsia="zh-CN"/>
        </w:rPr>
        <w:t xml:space="preserve">六、定标</w:t>
      </w:r>
      <w:bookmarkEnd w:id="147"/>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bookmarkStart w:id="148" w:name="_Toc20823310"/>
      <w:r/>
      <w:bookmarkStart w:id="149" w:name="_Toc513029238"/>
      <w:r/>
      <w:bookmarkStart w:id="150" w:name="_Toc16938554"/>
      <w:r>
        <w:rPr>
          <w:rFonts w:hint="eastAsia" w:asciiTheme="minorEastAsia" w:hAnsiTheme="minorEastAsia" w:eastAsiaTheme="minorEastAsia" w:cstheme="minorEastAsia"/>
          <w:color w:val="auto"/>
          <w:sz w:val="21"/>
          <w:szCs w:val="21"/>
          <w:highlight w:val="none"/>
        </w:rPr>
        <w:t xml:space="preserve">28、</w:t>
      </w:r>
      <w:bookmarkEnd w:id="148"/>
      <w:r>
        <w:rPr>
          <w:rFonts w:hint="eastAsia" w:asciiTheme="minorEastAsia" w:hAnsiTheme="minorEastAsia" w:eastAsiaTheme="minorEastAsia" w:cstheme="minorEastAsia"/>
          <w:color w:val="auto"/>
          <w:sz w:val="21"/>
          <w:szCs w:val="21"/>
          <w:highlight w:val="none"/>
        </w:rPr>
        <w:t xml:space="preserve">确定</w:t>
      </w:r>
      <w:bookmarkEnd w:id="149"/>
      <w:r/>
      <w:bookmarkEnd w:id="150"/>
      <w:r>
        <w:rPr>
          <w:rFonts w:hint="eastAsia" w:asciiTheme="minorEastAsia" w:hAnsiTheme="minorEastAsia" w:eastAsiaTheme="minorEastAsia" w:cstheme="minorEastAsia"/>
          <w:color w:val="auto"/>
          <w:sz w:val="21"/>
          <w:szCs w:val="21"/>
          <w:highlight w:val="none"/>
        </w:rPr>
        <w:t xml:space="preserve">中标单位</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28.1中标候选人的选取原则和数量见招标文件第五章规定。 </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28.2采购人应根据评委会推荐的中标候选人确定中标人。</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28.3</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将在</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bidi="ar-SA"/>
        </w:rPr>
        <w:t xml:space="preserve">中国政府采购网”“</w:t>
      </w:r>
      <w:r>
        <w:rPr>
          <w:rFonts w:hint="eastAsia" w:asciiTheme="minorEastAsia" w:hAnsiTheme="minorEastAsia" w:eastAsiaTheme="minorEastAsia" w:cstheme="minorEastAsia"/>
          <w:color w:val="auto"/>
          <w:sz w:val="21"/>
          <w:szCs w:val="21"/>
          <w:highlight w:val="none"/>
        </w:rPr>
        <w:t xml:space="preserve">江苏政府采购网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w:t>
      </w:r>
      <w:r>
        <w:rPr>
          <w:rFonts w:hint="eastAsia" w:asciiTheme="minorEastAsia" w:hAnsiTheme="minorEastAsia" w:eastAsiaTheme="minorEastAsia" w:cstheme="minorEastAsia"/>
          <w:color w:val="auto"/>
          <w:sz w:val="21"/>
          <w:szCs w:val="21"/>
          <w:highlight w:val="none"/>
        </w:rPr>
        <w:t xml:space="preserve">发布中标公告，公告期限为1个工作日。</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28.4若有充分证据证明，中标人出现下列情况之一的，一经查实，将被取消中标资格：</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28.4.1提供虚假材料谋取中标的。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28.4.2向采购人、</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行贿或者提供其他不正当利益的。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28.4.3属于本文件规定的无效条件，但在评标过程中又未被评委会发现的。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28.4.4与采购人或者其他供应商恶意串通的。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28.4.5采取不正当手段诋毁、排挤其他供应商的。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bookmarkStart w:id="151" w:name="_Toc200451960"/>
      <w:r>
        <w:rPr>
          <w:rFonts w:hint="eastAsia" w:asciiTheme="minorEastAsia" w:hAnsiTheme="minorEastAsia" w:eastAsiaTheme="minorEastAsia" w:cstheme="minorEastAsia"/>
          <w:color w:val="auto"/>
          <w:sz w:val="21"/>
          <w:szCs w:val="21"/>
          <w:highlight w:val="none"/>
        </w:rPr>
        <w:t xml:space="preserve">28.5.有下列情形之一的，视为投标人串通投标，投标无效：</w:t>
      </w:r>
      <w:bookmarkEnd w:id="151"/>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28.5.1不同投标人的投标文件由同一单位或者个人编制；</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28.5.2不同投标人委托同一单位或者个人办理投标事宜；</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28.5.3 不同投标人的投标文件载明的项目管理成员或者联系人员为同一人；</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28.5.4不同投标人的投标文件异常一致或者投标报价呈规律性差异；</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29、质疑处理</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 提出质疑的供应商应当是参与所质疑项目采购活动的供应商。潜在供应商依法获取其可质疑的采购文件的，可以对采购文件提出质疑。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或采购人提出质疑。上述应知其权益受到损害之日，是指：</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29.2.2对采购过程提出质疑的，为各采购程序环节结束之日；</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29.2.3对中标或者成交结果提出质疑的，为中标或者成交结果公告期限届满之日。</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、采购人将只对供应商第一次质疑作出答复。</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提出，由</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负责答复。</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采购人及</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只接收以纸质原件形式送达的质疑,采购人和</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不接受未填写快递运单的快件。</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29.5以下情形的质疑不予受理</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29.5.1内容不符合《政府采购质疑和投诉办法》第十二条规定的质疑。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29.5.2超出政府采购法定期限的质疑。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29.5.3以传真、电子邮件等方式递交的非原件形式的质疑。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29.5.4未参加投标活动的供应商或在投标活动中自身权益未受到损害的供应商所提出的质疑。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29.5.5供应商组成联合体参加投标，联合体中任何一方或多方未按要求签字、盖章、加盖公章的质疑。</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29.6供应商提出书面质疑必须有理、有据，不得捏造事实、提供虚假材料进行恶意质疑。否则，一经查实，</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有权依据政府采购的有关规定，报请政府采购监管部门对该供应商进行相应的行政处罚和记录该供应商的失信信息。</w:t>
      </w:r>
      <w:r/>
    </w:p>
    <w:p>
      <w:pPr>
        <w:pStyle w:val="1259"/>
        <w:ind w:left="0" w:firstLine="197"/>
        <w:jc w:val="both"/>
        <w:keepLines/>
        <w:keepNext/>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30、中标通知书</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30.l中标结果确定后，</w:t>
      </w:r>
      <w:r>
        <w:rPr>
          <w:rFonts w:hint="eastAsia" w:asciiTheme="minorEastAsia" w:hAnsiTheme="minorEastAsia" w:eastAsiaTheme="minorEastAsia" w:cstheme="minorEastAsia"/>
          <w:color w:val="auto"/>
          <w:sz w:val="21"/>
          <w:szCs w:val="21"/>
          <w:highlight w:val="none"/>
          <w:lang w:eastAsia="zh-CN"/>
        </w:rPr>
        <w:t xml:space="preserve">代理机构</w:t>
      </w:r>
      <w:r>
        <w:rPr>
          <w:rFonts w:hint="eastAsia" w:asciiTheme="minorEastAsia" w:hAnsiTheme="minorEastAsia" w:eastAsiaTheme="minorEastAsia" w:cstheme="minorEastAsia"/>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259"/>
        <w:ind w:left="0" w:firstLine="198"/>
        <w:jc w:val="both"/>
        <w:keepLines/>
        <w:keepNext/>
        <w:pageBreakBefore w:val="0"/>
        <w:spacing w:beforeAutospacing="0" w:afterAutospacing="0" w:line="360" w:lineRule="auto"/>
        <w:widowControl w:val="off"/>
        <w:rPr>
          <w:rFonts w:hint="eastAsia" w:asciiTheme="minorEastAsia" w:hAnsiTheme="minorEastAsia" w:eastAsiaTheme="minorEastAsia" w:cstheme="minorEastAsia"/>
          <w:color w:val="auto"/>
          <w:sz w:val="21"/>
          <w:szCs w:val="21"/>
          <w:highlight w:val="none"/>
        </w:rPr>
      </w:pPr>
      <w:r/>
      <w:bookmarkStart w:id="152" w:name="_Toc16938552"/>
      <w:r/>
      <w:bookmarkStart w:id="153" w:name="_Toc120614220"/>
      <w:r/>
      <w:bookmarkStart w:id="154" w:name="_Toc513029236"/>
      <w:r/>
      <w:bookmarkStart w:id="155" w:name="_Toc20823308"/>
      <w:r>
        <w:rPr>
          <w:rFonts w:hint="eastAsia" w:asciiTheme="minorEastAsia" w:hAnsiTheme="minorEastAsia" w:eastAsiaTheme="minorEastAsia" w:cstheme="minorEastAsia"/>
          <w:b/>
          <w:color w:val="auto"/>
          <w:sz w:val="21"/>
          <w:szCs w:val="21"/>
          <w:highlight w:val="none"/>
        </w:rPr>
        <w:t xml:space="preserve">七、授予合同</w:t>
      </w:r>
      <w:bookmarkEnd w:id="152"/>
      <w:r/>
      <w:bookmarkEnd w:id="153"/>
      <w:r/>
      <w:bookmarkEnd w:id="154"/>
      <w:r/>
      <w:bookmarkEnd w:id="155"/>
      <w:r/>
      <w:r/>
    </w:p>
    <w:p>
      <w:pPr>
        <w:pStyle w:val="1259"/>
        <w:ind w:left="0" w:firstLine="197"/>
        <w:jc w:val="both"/>
        <w:keepLines/>
        <w:keepNext/>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bookmarkStart w:id="156" w:name="_Toc20823309"/>
      <w:r/>
      <w:bookmarkStart w:id="157" w:name="_Toc513029237"/>
      <w:r/>
      <w:bookmarkStart w:id="158" w:name="_Toc16938553"/>
      <w:r>
        <w:rPr>
          <w:rFonts w:hint="eastAsia" w:asciiTheme="minorEastAsia" w:hAnsiTheme="minorEastAsia" w:eastAsiaTheme="minorEastAsia" w:cstheme="minorEastAsia"/>
          <w:color w:val="auto"/>
          <w:sz w:val="21"/>
          <w:szCs w:val="21"/>
          <w:highlight w:val="none"/>
        </w:rPr>
        <w:t xml:space="preserve">31.签订合同</w:t>
      </w:r>
      <w:bookmarkEnd w:id="156"/>
      <w:r/>
      <w:bookmarkEnd w:id="157"/>
      <w:r/>
      <w:bookmarkEnd w:id="158"/>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31.l中标人应当在中标通知书发出之日起三十日内，按照招标文件确定的事项与采购人签订政府采购合同。</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31.2招标文件、中标人的投标文件及招标过程中有关澄清、承诺文件均应作为合同附件。</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rPr>
        <w:t xml:space="preserve">31.3签订合同后，</w:t>
      </w:r>
      <w:r>
        <w:rPr>
          <w:rFonts w:hint="eastAsia" w:asciiTheme="minorEastAsia" w:hAnsiTheme="minorEastAsia" w:eastAsiaTheme="minorEastAsia" w:cstheme="minorEastAsia"/>
          <w:i/>
          <w:color w:val="auto"/>
          <w:sz w:val="21"/>
          <w:szCs w:val="21"/>
          <w:highlight w:val="none"/>
          <w:u w:val="single"/>
        </w:rPr>
        <w:t xml:space="preserve">中标人不得将合同标的进行转包</w:t>
      </w:r>
      <w:r>
        <w:rPr>
          <w:rFonts w:hint="eastAsia" w:asciiTheme="minorEastAsia" w:hAnsiTheme="minorEastAsia" w:eastAsiaTheme="minorEastAsia" w:cstheme="minorEastAsia"/>
          <w:color w:val="auto"/>
          <w:sz w:val="21"/>
          <w:szCs w:val="21"/>
          <w:highlight w:val="none"/>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color w:val="auto"/>
          <w:sz w:val="21"/>
          <w:szCs w:val="21"/>
          <w:highlight w:val="none"/>
          <w:shd w:val="clear" w:color="auto" w:fill="auto"/>
        </w:rPr>
        <w:t xml:space="preserve">购人损失的，中标人应承担相应赔偿责任。</w:t>
      </w:r>
      <w:r/>
    </w:p>
    <w:p>
      <w:pPr>
        <w:pStyle w:val="1259"/>
        <w:ind w:left="0" w:firstLine="197"/>
        <w:jc w:val="both"/>
        <w:keepLines/>
        <w:keepNext/>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32、货物（包含与货物相关的服务）的追加</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33.政府采购政策功能落实</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33.1</w:t>
      </w:r>
      <w:r>
        <w:rPr>
          <w:rFonts w:hint="eastAsia" w:asciiTheme="minorEastAsia" w:hAnsiTheme="minorEastAsia" w:eastAsiaTheme="minorEastAsia" w:cstheme="minorEastAsia"/>
          <w:color w:val="auto"/>
          <w:sz w:val="21"/>
          <w:szCs w:val="21"/>
          <w:highlight w:val="none"/>
        </w:rPr>
        <w:t xml:space="preserve">政府采购</w:t>
      </w:r>
      <w:r>
        <w:rPr>
          <w:rFonts w:hint="eastAsia" w:asciiTheme="minorEastAsia" w:hAnsiTheme="minorEastAsia" w:eastAsiaTheme="minorEastAsia" w:cstheme="minorEastAsia"/>
          <w:color w:val="auto"/>
          <w:sz w:val="21"/>
          <w:szCs w:val="21"/>
          <w:highlight w:val="none"/>
          <w:lang w:eastAsia="zh-CN"/>
        </w:rPr>
        <w:t xml:space="preserve">线上合同信用融资</w:t>
      </w:r>
      <w:r>
        <w:rPr>
          <w:rFonts w:hint="eastAsia" w:asciiTheme="minorEastAsia" w:hAnsiTheme="minorEastAsia" w:eastAsiaTheme="minorEastAsia" w:cstheme="minorEastAsia"/>
          <w:color w:val="auto"/>
          <w:sz w:val="21"/>
          <w:szCs w:val="21"/>
          <w:highlight w:val="none"/>
        </w:rPr>
        <w:t xml:space="preserve">政策</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根据《转发江苏省财政厅 中国人民银行南京分行</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关于深入推进政府采购线上合同信用融资工作的通知</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1"/>
          <w:szCs w:val="21"/>
          <w:highlight w:val="none"/>
          <w:lang w:val="en-US" w:eastAsia="zh-CN"/>
        </w:rPr>
        <w:t xml:space="preserve">江苏省</w:t>
      </w:r>
      <w:r>
        <w:rPr>
          <w:rFonts w:hint="eastAsia" w:asciiTheme="minorEastAsia" w:hAnsiTheme="minorEastAsia" w:eastAsiaTheme="minorEastAsia" w:cstheme="minorEastAsia"/>
          <w:color w:val="auto"/>
          <w:sz w:val="21"/>
          <w:szCs w:val="21"/>
          <w:highlight w:val="none"/>
        </w:rPr>
        <w:t xml:space="preserve">政府采购网“政采贷”栏目）申请贷款，相关金融机构按照双方自愿的原则提供便捷、优惠的贷款服务；具体操作流程请参考苏采云系统中操作手册。 </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33.2进口产品</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进口产品</w:t>
      </w:r>
      <w:r>
        <w:rPr>
          <w:rFonts w:hint="eastAsia" w:asciiTheme="minorEastAsia" w:hAnsiTheme="minorEastAsia" w:eastAsiaTheme="minorEastAsia" w:cstheme="minorEastAsia"/>
          <w:color w:val="auto"/>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33.3中小企业、监狱企业及残疾人福利性单位</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.3.1中小企业定义：</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.3.2供应商提供的货物、工程或者服务符合下列情形的，享受中小企业扶持政策：</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.3.2.1在货物采购项目中，货物由中小企业制造，即货物由中小企业生产且使用该中小企业商号或者注册商标；</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.3.2.2在工程采购项目中，工程由中小企业承建，即工程施工单位为中小企业；</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.3.2.3在服务采购项目中，服务由中小企业承接，即提供服务的人员为中小企业依照《中华人民共和国劳动合同法》订立劳动合同的从业人员。</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.3.3在货物采购项目中，供应商提供的货物既有中小企业制造货物，也有大型企业制造货物的，不享受中小企业扶持政策。</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.3.4以联合体形式参加政府采购活动，联合体各方均为中小企业的，联合体视同中小企业。其中，联合体各方均为小微企业的，联合体视同小微企业。</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.3.6残疾人福利单位定义：享受政府采购支持政策的残疾人福利性单位应当同时满足以下条件：</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.3.6.1安置的残疾人占本单位在职职工人数的比例不低于25%（含25%），并且安置的残疾人人数不少于10人（含10人）；</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.3.6.2依法与安置的每位残疾人签订了一年以上（含一年）的劳动合同或服务协议；</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.3.6.3为安置的每位残疾人按月足额缴纳了基本养老保险、基本医疗保险、失业保险、工伤保险和生育保险等社会保险费；</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.3.6.4通过银行等金融机构向安置的每位残疾人，按月支付了不低于单位所在区县适用的经省级人民政府批准的月最低工资标准的工资；</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.3.6.5提供本单位制造的货物、承担的工程或者服务（以下简称产品），或者提供其他残疾人福利性单位制造的货物（不包括使用非残疾人福利性单位注册商标的货物）；</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.3.7本项目是否专门面向中小企业预留采购份额见第一章《</w:t>
      </w:r>
      <w:r>
        <w:rPr>
          <w:rFonts w:hint="eastAsia" w:asciiTheme="minorEastAsia" w:hAnsiTheme="minorEastAsia" w:eastAsiaTheme="minorEastAsia" w:cstheme="minorEastAsia"/>
          <w:color w:val="auto"/>
          <w:sz w:val="21"/>
          <w:szCs w:val="21"/>
          <w:highlight w:val="none"/>
          <w:lang w:val="en-US" w:eastAsia="zh-CN"/>
        </w:rPr>
        <w:t xml:space="preserve">招标公告</w:t>
      </w:r>
      <w:r>
        <w:rPr>
          <w:rFonts w:hint="eastAsia" w:asciiTheme="minorEastAsia" w:hAnsiTheme="minorEastAsia" w:eastAsiaTheme="minorEastAsia" w:cstheme="minorEastAsia"/>
          <w:color w:val="auto"/>
          <w:sz w:val="21"/>
          <w:szCs w:val="21"/>
          <w:highlight w:val="none"/>
        </w:rPr>
        <w:t xml:space="preserve">》。</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w:t>
      </w:r>
      <w:r>
        <w:rPr>
          <w:rFonts w:hint="eastAsia" w:asciiTheme="minorEastAsia" w:hAnsiTheme="minorEastAsia" w:eastAsiaTheme="minorEastAsia" w:cstheme="minorEastAsia"/>
          <w:color w:val="auto"/>
          <w:sz w:val="21"/>
          <w:szCs w:val="21"/>
          <w:highlight w:val="none"/>
        </w:rPr>
        <w:t xml:space="preserve">.3.8采购标的对应的中小企业划分标准所属行业见第四章《采购需求》。</w:t>
      </w:r>
      <w:r/>
    </w:p>
    <w:p>
      <w:pPr>
        <w:pStyle w:val="1259"/>
        <w:ind w:left="0" w:firstLine="197"/>
        <w:jc w:val="both"/>
        <w:pageBreakBefore w:val="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.3.9小微企业价格评审优惠的政策：见第五章《评标方法和评标标准》。</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33.4政府采购节能产品、环境标志产品</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.4.1</w:t>
      </w:r>
      <w:r>
        <w:rPr>
          <w:rFonts w:hint="eastAsia" w:asciiTheme="minorEastAsia" w:hAnsiTheme="minorEastAsia" w:eastAsiaTheme="minorEastAsia" w:cstheme="minorEastAsia"/>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1"/>
          <w:szCs w:val="21"/>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其他条件相同情况下，应当优先采购节能产品、环境标志产品。</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.4.2</w:t>
      </w:r>
      <w:r>
        <w:rPr>
          <w:rFonts w:hint="eastAsia" w:asciiTheme="minorEastAsia" w:hAnsiTheme="minorEastAsia" w:eastAsiaTheme="minorEastAsia" w:cstheme="minorEastAsia"/>
          <w:color w:val="auto"/>
          <w:sz w:val="21"/>
          <w:szCs w:val="21"/>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33.5绿色包装</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33.6政府采购创新产品</w:t>
      </w:r>
      <w:r/>
    </w:p>
    <w:p>
      <w:pPr>
        <w:ind w:left="0" w:right="0" w:firstLine="197"/>
        <w:jc w:val="both"/>
        <w:pageBreakBefore w:val="0"/>
        <w:spacing w:before="0" w:after="0" w:line="360" w:lineRule="auto"/>
        <w:rPr>
          <w:rFonts w:hint="eastAsia" w:asciiTheme="minorEastAsia" w:hAnsiTheme="minorEastAsia" w:eastAsiaTheme="minorEastAsia" w:cstheme="minorEastAsia"/>
          <w:color w:val="auto"/>
          <w:sz w:val="21"/>
          <w:szCs w:val="21"/>
          <w:highlight w:val="none"/>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auto"/>
          <w:sz w:val="21"/>
          <w:szCs w:val="21"/>
          <w:highlight w:val="none"/>
          <w:lang w:val="en-US" w:eastAsia="zh-CN" w:bidi="ar-SA"/>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color w:val="auto"/>
          <w:sz w:val="21"/>
          <w:szCs w:val="21"/>
          <w:highlight w:val="none"/>
        </w:rPr>
        <w:t xml:space="preserve">。</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33.7绿色数据中心政策 </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1"/>
          <w:szCs w:val="21"/>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198"/>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33.8实施本国产品标准及相关政策</w:t>
      </w:r>
      <w:r/>
    </w:p>
    <w:p>
      <w:pPr>
        <w:ind w:left="0" w:firstLine="198"/>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1.本项目对采购本国产品给予政策支持，具体内容见招标文件“第五章 评标方法与评标标准”。</w:t>
      </w:r>
      <w:r/>
    </w:p>
    <w:p>
      <w:pPr>
        <w:ind w:left="0" w:firstLine="198"/>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198"/>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198"/>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33.9履约保证金政策</w:t>
      </w:r>
      <w:r/>
    </w:p>
    <w:p>
      <w:pPr>
        <w:pStyle w:val="1269"/>
        <w:ind w:left="0" w:firstLine="197"/>
        <w:pageBreakBefore w:val="0"/>
        <w:spacing w:after="0"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确需收取履约保证金的，履约保证金的缴纳形式：</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履约保证金金额</w:t>
      </w:r>
      <w:r>
        <w:rPr>
          <w:rFonts w:hint="eastAsia" w:asciiTheme="minorEastAsia" w:hAnsiTheme="minorEastAsia" w:cstheme="minorEastAsia"/>
          <w:color w:val="auto"/>
          <w:sz w:val="21"/>
          <w:szCs w:val="21"/>
          <w:highlight w:val="none"/>
          <w:lang w:val="en-US" w:eastAsia="zh-CN" w:bidi="ar-SA"/>
        </w:rPr>
        <w:t xml:space="preserve">为</w:t>
      </w:r>
      <w:r>
        <w:rPr>
          <w:rFonts w:hint="eastAsia" w:asciiTheme="minorEastAsia" w:hAnsiTheme="minorEastAsia" w:eastAsiaTheme="minorEastAsia" w:cstheme="minorEastAsia"/>
          <w:color w:val="auto"/>
          <w:sz w:val="21"/>
          <w:szCs w:val="21"/>
          <w:highlight w:val="none"/>
          <w:lang w:val="en-US" w:eastAsia="zh-CN" w:bidi="ar-SA"/>
        </w:rPr>
        <w:t xml:space="preserve">合同金额的</w:t>
      </w:r>
      <w:r>
        <w:rPr>
          <w:rFonts w:hint="eastAsia" w:asciiTheme="minorEastAsia" w:hAnsiTheme="minorEastAsia" w:cstheme="minorEastAsia"/>
          <w:color w:val="auto"/>
          <w:sz w:val="21"/>
          <w:szCs w:val="21"/>
          <w:highlight w:val="none"/>
          <w:lang w:val="en-US" w:eastAsia="zh-CN" w:bidi="ar-SA"/>
        </w:rPr>
        <w:t xml:space="preserve">5</w:t>
      </w:r>
      <w:r>
        <w:rPr>
          <w:rFonts w:hint="eastAsia" w:asciiTheme="minorEastAsia" w:hAnsiTheme="minorEastAsia" w:eastAsiaTheme="minorEastAsia" w:cstheme="minorEastAsia"/>
          <w:color w:val="auto"/>
          <w:sz w:val="21"/>
          <w:szCs w:val="21"/>
          <w:highlight w:val="none"/>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left="0" w:firstLine="197"/>
        <w:pageBreakBefore w:val="0"/>
        <w:spacing w:line="360" w:lineRule="auto"/>
        <w:tabs>
          <w:tab w:val="left" w:pos="1381"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34. 预付款制度</w:t>
      </w:r>
      <w:r/>
    </w:p>
    <w:p>
      <w:pPr>
        <w:ind w:left="0" w:firstLine="197"/>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1259"/>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48"/>
          <w:szCs w:val="44"/>
          <w:highlight w:val="none"/>
        </w:rPr>
      </w:pPr>
      <w:r/>
      <w:bookmarkStart w:id="159" w:name="_Toc479757211"/>
      <w:r/>
      <w:bookmarkStart w:id="160" w:name="_Toc120614244"/>
      <w:r/>
      <w:bookmarkStart w:id="161" w:name="_Hlt16619350"/>
      <w:r/>
      <w:bookmarkStart w:id="162" w:name="_Toc16938590"/>
      <w:r/>
      <w:bookmarkStart w:id="163" w:name="_Toc20823346"/>
      <w:r/>
      <w:bookmarkStart w:id="164" w:name="_Toc462564139"/>
      <w:r/>
      <w:bookmarkStart w:id="165" w:name="_Hlt16619369"/>
      <w:r/>
      <w:r/>
    </w:p>
    <w:p>
      <w:pPr>
        <w:ind w:firstLine="2409"/>
        <w:rPr>
          <w:rFonts w:hint="eastAsia" w:ascii="宋体" w:hAnsi="宋体" w:cs="宋体"/>
          <w:b/>
          <w:color w:val="auto"/>
          <w:sz w:val="48"/>
          <w:szCs w:val="44"/>
          <w:highlight w:val="none"/>
        </w:rPr>
        <w:outlineLvl w:val="0"/>
      </w:pPr>
      <w:r>
        <w:rPr>
          <w:rFonts w:hint="eastAsia" w:ascii="宋体" w:hAnsi="宋体" w:cs="宋体"/>
          <w:b/>
          <w:color w:val="auto"/>
          <w:sz w:val="48"/>
          <w:szCs w:val="44"/>
          <w:highlight w:val="none"/>
        </w:rPr>
        <w:br w:type="page" w:clear="all"/>
      </w:r>
      <w:r/>
    </w:p>
    <w:p>
      <w:pPr>
        <w:ind w:firstLine="2409"/>
        <w:rPr>
          <w:rFonts w:ascii="宋体" w:hAnsi="宋体" w:cs="宋体"/>
          <w:b/>
          <w:color w:val="auto"/>
          <w:sz w:val="48"/>
          <w:szCs w:val="44"/>
          <w:highlight w:val="none"/>
        </w:rPr>
        <w:outlineLvl w:val="0"/>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w:t>
      </w:r>
      <w:r>
        <w:rPr>
          <w:rFonts w:hint="eastAsia" w:ascii="宋体" w:hAnsi="宋体" w:cs="宋体"/>
          <w:b/>
          <w:color w:val="auto"/>
          <w:sz w:val="48"/>
          <w:szCs w:val="44"/>
          <w:highlight w:val="none"/>
          <w:lang w:val="en-US" w:eastAsia="zh-CN"/>
        </w:rPr>
        <w:t xml:space="preserve"> </w:t>
      </w:r>
      <w:r>
        <w:rPr>
          <w:rFonts w:hint="eastAsia" w:ascii="宋体" w:hAnsi="宋体" w:cs="宋体"/>
          <w:b/>
          <w:color w:val="auto"/>
          <w:sz w:val="48"/>
          <w:szCs w:val="44"/>
          <w:highlight w:val="none"/>
        </w:rPr>
        <w:t xml:space="preserve">合同条款</w:t>
      </w:r>
      <w:r/>
    </w:p>
    <w:p>
      <w:pPr>
        <w:pStyle w:val="1259"/>
        <w:ind w:firstLine="688"/>
        <w:jc w:val="both"/>
        <w:keepLines w:val="0"/>
        <w:keepNext w:val="0"/>
        <w:pageBreakBefore w:val="0"/>
        <w:spacing w:beforeAutospacing="0" w:afterAutospacing="0" w:line="360" w:lineRule="auto"/>
        <w:widowControl w:val="off"/>
        <w:rPr>
          <w:color w:val="auto"/>
          <w:sz w:val="21"/>
          <w:szCs w:val="21"/>
          <w:highlight w:val="none"/>
        </w:rPr>
      </w:pPr>
      <w:r/>
      <w:bookmarkStart w:id="166" w:name="_Toc20823315"/>
      <w:r/>
      <w:bookmarkStart w:id="167" w:name="_Toc513029243"/>
      <w:r/>
      <w:bookmarkStart w:id="168" w:name="_Toc16938559"/>
      <w:r/>
      <w:bookmarkStart w:id="169" w:name="EB6d2006462e294de090c16e672cecc3bd"/>
      <w:r>
        <w:rPr>
          <w:rFonts w:hint="eastAsia" w:ascii="宋体" w:hAnsi="宋体" w:eastAsia="宋体" w:cs="宋体"/>
          <w:color w:val="auto"/>
          <w:sz w:val="21"/>
          <w:szCs w:val="21"/>
          <w:highlight w:val="none"/>
        </w:rPr>
        <w:t xml:space="preserve">以下为中标后</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本项目合同的通用条款，中标人不得提出实质性的修改。</w:t>
      </w:r>
      <w:bookmarkEnd w:id="166"/>
      <w:r/>
      <w:bookmarkEnd w:id="167"/>
      <w:r/>
      <w:bookmarkEnd w:id="168"/>
      <w:r/>
      <w:r/>
    </w:p>
    <w:p>
      <w:pPr>
        <w:pStyle w:val="1259"/>
        <w:jc w:val="center"/>
        <w:keepLines w:val="0"/>
        <w:keepNext w:val="0"/>
        <w:pageBreakBefore w:val="0"/>
        <w:spacing w:before="145" w:beforeAutospacing="0" w:after="145" w:afterAutospacing="0" w:line="360" w:lineRule="auto"/>
        <w:widowControl w:val="off"/>
        <w:rPr>
          <w:color w:val="auto"/>
          <w:sz w:val="21"/>
          <w:szCs w:val="21"/>
          <w:highlight w:val="none"/>
        </w:rPr>
      </w:pPr>
      <w:r>
        <w:rPr>
          <w:rFonts w:hint="eastAsia" w:ascii="宋体" w:hAnsi="宋体" w:eastAsia="宋体" w:cs="宋体"/>
          <w:b/>
          <w:color w:val="auto"/>
          <w:sz w:val="21"/>
          <w:szCs w:val="21"/>
          <w:highlight w:val="none"/>
        </w:rPr>
        <w:t xml:space="preserve">盐城市政府采购合同（服务）（合同编号）</w:t>
      </w:r>
      <w:r/>
    </w:p>
    <w:p>
      <w:pPr>
        <w:pStyle w:val="1259"/>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盐城市公安局大数据支队新一代公安信息网安全访问项目</w:t>
      </w:r>
      <w:r/>
    </w:p>
    <w:p>
      <w:pPr>
        <w:pStyle w:val="1259"/>
        <w:jc w:val="both"/>
        <w:keepLines w:val="0"/>
        <w:keepNext w:val="0"/>
        <w:pageBreakBefore w:val="0"/>
        <w:spacing w:before="120" w:beforeAutospacing="0" w:after="12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1259"/>
        <w:jc w:val="both"/>
        <w:keepLines w:val="0"/>
        <w:keepNext w:val="0"/>
        <w:pageBreakBefore w:val="0"/>
        <w:spacing w:before="120" w:beforeAutospacing="0" w:after="12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lang w:eastAsia="zh-CN"/>
        </w:rPr>
        <w:t xml:space="preserve">盐城市公安局</w:t>
      </w:r>
      <w:r/>
    </w:p>
    <w:p>
      <w:pPr>
        <w:pStyle w:val="1259"/>
        <w:jc w:val="both"/>
        <w:keepLines w:val="0"/>
        <w:keepNext w:val="0"/>
        <w:pageBreakBefore w:val="0"/>
        <w:spacing w:before="120" w:beforeAutospacing="0" w:after="12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乙方：_________</w:t>
      </w:r>
      <w:r/>
    </w:p>
    <w:p>
      <w:pPr>
        <w:pStyle w:val="1259"/>
        <w:ind w:firstLine="420"/>
        <w:jc w:val="both"/>
        <w:keepLines w:val="0"/>
        <w:keepNext w:val="0"/>
        <w:pageBreakBefore w:val="0"/>
        <w:spacing w:before="120" w:beforeAutospacing="0" w:after="12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lang w:eastAsia="zh-CN"/>
        </w:rPr>
        <w:t xml:space="preserve">盐城市公安局大数据支队新一代公安信息网安全访问项目</w:t>
      </w:r>
      <w:r>
        <w:rPr>
          <w:rFonts w:hint="eastAsia" w:ascii="宋体" w:hAnsi="宋体" w:eastAsia="宋体" w:cs="宋体"/>
          <w:color w:val="auto"/>
          <w:sz w:val="21"/>
          <w:szCs w:val="21"/>
          <w:highlight w:val="none"/>
        </w:rPr>
        <w:t xml:space="preserve">公开招标的结果，签署本合同。</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一、合同内容</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1.1标的名称：</w:t>
      </w:r>
      <w:r>
        <w:rPr>
          <w:rFonts w:hint="eastAsia" w:ascii="宋体" w:hAnsi="宋体" w:eastAsia="宋体" w:cs="宋体"/>
          <w:color w:val="auto"/>
          <w:sz w:val="21"/>
          <w:szCs w:val="21"/>
          <w:highlight w:val="none"/>
          <w:u w:val="single"/>
          <w:lang w:eastAsia="zh-CN"/>
        </w:rPr>
        <w:t xml:space="preserve">盐城市公安局大数据支队新一代公安信息网安全访问项目</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1.2标的质量：</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1.3标的数量（规模）：</w:t>
      </w:r>
      <w:r/>
    </w:p>
    <w:p>
      <w:pPr>
        <w:ind w:firstLine="420"/>
        <w:jc w:val="left"/>
        <w:keepLines w:val="0"/>
        <w:keepNext w:val="0"/>
        <w:pageBreakBefore w:val="0"/>
        <w:spacing w:line="360" w:lineRule="auto"/>
        <w:widowControl/>
        <w:rPr>
          <w:rFonts w:hint="eastAsia" w:eastAsia="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1.4履行时间（期限）：</w:t>
      </w:r>
      <w:r>
        <w:rPr>
          <w:rFonts w:hint="eastAsia" w:ascii="宋体" w:hAnsi="宋体" w:eastAsia="宋体" w:cs="宋体"/>
          <w:color w:val="auto"/>
          <w:sz w:val="21"/>
          <w:szCs w:val="21"/>
          <w:highlight w:val="none"/>
          <w:lang w:val="en-US" w:eastAsia="zh-CN"/>
        </w:rPr>
        <w:t xml:space="preserve"> </w:t>
      </w:r>
      <w:r/>
    </w:p>
    <w:p>
      <w:pPr>
        <w:ind w:firstLine="420"/>
        <w:spacing w:line="360" w:lineRule="auto"/>
        <w:rPr>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CN"/>
        </w:rPr>
        <w:t xml:space="preserve">交付期限</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default" w:ascii="宋体" w:hAnsi="宋体" w:eastAsia="宋体"/>
          <w:color w:val="auto"/>
          <w:szCs w:val="21"/>
          <w:highlight w:val="none"/>
          <w:lang w:val="en-US" w:eastAsia="zh-CN"/>
        </w:rPr>
        <w:suppressLineNumbers w:val="0"/>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eastAsia="zh-CN"/>
        </w:rPr>
        <w:t xml:space="preserve">质保期限</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二、合同金额</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本合同金额为</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rPr>
        <w:t xml:space="preserve">_________________</w:t>
      </w:r>
      <w:r>
        <w:rPr>
          <w:rFonts w:hint="eastAsia" w:ascii="宋体" w:hAnsi="宋体" w:eastAsia="宋体" w:cs="宋体"/>
          <w:color w:val="auto"/>
          <w:sz w:val="21"/>
          <w:szCs w:val="21"/>
          <w:highlight w:val="none"/>
          <w:lang w:val="en-US" w:eastAsia="zh-CN"/>
        </w:rPr>
        <w:t xml:space="preserve">元/年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大写：</w:t>
      </w:r>
      <w:r>
        <w:rPr>
          <w:rFonts w:hint="eastAsia" w:ascii="宋体" w:hAnsi="宋体" w:eastAsia="宋体" w:cs="宋体"/>
          <w:color w:val="auto"/>
          <w:sz w:val="21"/>
          <w:szCs w:val="21"/>
          <w:highlight w:val="none"/>
        </w:rPr>
        <w:t xml:space="preserve">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1263"/>
        <w:ind w:firstLine="420"/>
        <w:spacing w:line="360" w:lineRule="auto"/>
        <w:rPr>
          <w:rFonts w:ascii="宋体" w:hAnsi="宋体"/>
          <w:b/>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双方签订合同后，</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到达指定交货地点,安装调试完验收合格并投入使用后,</w:t>
      </w:r>
      <w:r>
        <w:rPr>
          <w:rFonts w:hint="eastAsia" w:ascii="宋体" w:hAnsi="宋体"/>
          <w:color w:val="auto"/>
          <w:sz w:val="21"/>
          <w:szCs w:val="21"/>
          <w:highlight w:val="none"/>
        </w:rPr>
        <w:t xml:space="preserve">以实际发生数量为准，分批次进行结算</w:t>
      </w:r>
      <w:r>
        <w:rPr>
          <w:rFonts w:ascii="宋体" w:hAnsi="宋体"/>
          <w:color w:val="auto"/>
          <w:sz w:val="21"/>
          <w:szCs w:val="21"/>
          <w:highlight w:val="none"/>
        </w:rPr>
        <w:t xml:space="preserve">。</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三、技术资料</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四、知识产权</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1"/>
          <w:szCs w:val="21"/>
          <w:highlight w:val="none"/>
          <w:lang w:val="en-US" w:eastAsia="zh-CN"/>
        </w:rPr>
        <w:t xml:space="preserve">识产权的起诉。一旦出现侵权，由乙方负全部责任。</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五、产权担保</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乙方保证所交付的服务（包含与服务相关的货物）的所有权完全属于乙方且无任何抵押、查封等产权瑕疵。</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六、履约保证金</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6.1乙方交纳人民币_________元作为本合同的履约保证金。</w:t>
      </w:r>
      <w:r/>
    </w:p>
    <w:p>
      <w:pPr>
        <w:pStyle w:val="1259"/>
        <w:ind w:firstLine="197"/>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（备注：合同金额的5%，采购人应当对AA评级及以上政府采购供应商（需提供信用管理部门备案的第三方信用报告）免收履约保证金。）</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2确需收取履约保证金的，</w:t>
      </w:r>
      <w:r>
        <w:rPr>
          <w:rFonts w:hint="eastAsia" w:ascii="宋体" w:hAnsi="宋体" w:eastAsia="宋体" w:cs="宋体"/>
          <w:color w:val="auto"/>
          <w:sz w:val="21"/>
          <w:szCs w:val="21"/>
          <w:highlight w:val="none"/>
          <w:lang w:eastAsia="zh-CN"/>
        </w:rPr>
        <w:t xml:space="preserve">履约保证金的缴纳形式：</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6.2.1</w:t>
      </w:r>
      <w:r>
        <w:rPr>
          <w:rFonts w:hint="eastAsia" w:ascii="宋体" w:hAnsi="宋体" w:eastAsia="宋体" w:cs="宋体"/>
          <w:color w:val="auto"/>
          <w:sz w:val="21"/>
          <w:szCs w:val="21"/>
          <w:highlight w:val="none"/>
        </w:rPr>
        <w:t xml:space="preserve">供应商应当以支票、汇票、本票或者金融机构、担保机构出具的保函等非现金形式提交</w:t>
      </w:r>
      <w:r>
        <w:rPr>
          <w:rFonts w:hint="eastAsia" w:ascii="宋体" w:hAnsi="宋体" w:eastAsia="宋体" w:cs="宋体"/>
          <w:color w:val="auto"/>
          <w:sz w:val="21"/>
          <w:szCs w:val="21"/>
          <w:highlight w:val="none"/>
          <w:lang w:eastAsia="zh-CN"/>
        </w:rPr>
        <w:t xml:space="preserve">履约保证金</w:t>
      </w:r>
      <w:r>
        <w:rPr>
          <w:rFonts w:hint="eastAsia" w:ascii="宋体" w:hAnsi="宋体" w:eastAsia="宋体" w:cs="宋体"/>
          <w:color w:val="auto"/>
          <w:sz w:val="21"/>
          <w:szCs w:val="21"/>
          <w:highlight w:val="none"/>
        </w:rPr>
        <w:t xml:space="preserve">。依据《关于在全省政府采购领域推行电子履约保函（保险）的通知》，鼓励供应商自愿使用</w:t>
      </w:r>
      <w:r>
        <w:rPr>
          <w:rFonts w:hint="eastAsia" w:ascii="宋体" w:hAnsi="宋体" w:eastAsia="宋体" w:cs="宋体"/>
          <w:color w:val="auto"/>
          <w:sz w:val="21"/>
          <w:szCs w:val="21"/>
          <w:highlight w:val="none"/>
          <w:lang w:eastAsia="zh-CN"/>
        </w:rPr>
        <w:t xml:space="preserve">电子</w:t>
      </w:r>
      <w:r>
        <w:rPr>
          <w:rFonts w:hint="eastAsia" w:ascii="宋体" w:hAnsi="宋体" w:eastAsia="宋体" w:cs="宋体"/>
          <w:color w:val="auto"/>
          <w:sz w:val="21"/>
          <w:szCs w:val="21"/>
          <w:highlight w:val="none"/>
        </w:rPr>
        <w:t xml:space="preserve">履约保函（保险）代替缴纳履约保证金</w:t>
      </w:r>
      <w:r>
        <w:rPr>
          <w:rFonts w:hint="eastAsia" w:ascii="宋体" w:hAnsi="宋体" w:eastAsia="宋体" w:cs="宋体"/>
          <w:color w:val="auto"/>
          <w:sz w:val="21"/>
          <w:szCs w:val="21"/>
          <w:highlight w:val="none"/>
          <w:lang w:eastAsia="zh-CN"/>
        </w:rPr>
        <w:t xml:space="preserve">。</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6.2.2如以履约保函（保险）形式缴纳履约保证金，供应商可通过政府采购电子履约保函（保险）平台（www.jsdzbh.com）在线申请履约保函（保险）。</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合同履行结束后，甲方应及时退还交纳的履约保证金。</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履约保证金的退还：</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.1方式：退还至投标人缴纳履约保证金的账户。如为保函，在到期时自行失效。</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.2时间：验收合格且采购人收到发票后30日内。</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.3条件：按合同要求全部履约完成并经采购人验收合格，且采购人收到中标人出具的发票。</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.4不予退还情形：</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除不可抗力情况外，投标人出现下列情形之一的，其履约保证金，招标人将视情节决定不予</w:t>
      </w:r>
      <w:r>
        <w:rPr>
          <w:rFonts w:hint="eastAsia" w:ascii="宋体" w:hAnsi="宋体" w:eastAsia="宋体" w:cs="宋体"/>
          <w:color w:val="auto"/>
          <w:sz w:val="21"/>
          <w:szCs w:val="21"/>
          <w:highlight w:val="none"/>
        </w:rPr>
        <w:t xml:space="preserve">退还或部分不予退还。</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（2）中标人不履行与采购人订立的合同的；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（3）中标人所供货物或服务不符合招标文件规定要求的；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（4）中标人采取欺骗、弄虚作假方式投标的或与其它投标人串通投标的；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（5）中标人将合同内容转包、违法分包的；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（6）中标人故意捏造事实或伪造证明材料，进行虚假恶意投诉或反映的。</w:t>
      </w:r>
      <w:r/>
    </w:p>
    <w:p>
      <w:pPr>
        <w:ind w:firstLine="197"/>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七、合同转包或分包</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7.1乙方不得将合同标的转包给他人履行。</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7.2乙方不得将合同标的分包给他人履行。</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7.3乙方如有转包或未经甲方同意的分包行为，甲方有权解除合同。</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八、合同款项支付</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8.1合同款项的支付方式及进度安排</w:t>
      </w:r>
      <w:r/>
    </w:p>
    <w:p>
      <w:pPr>
        <w:ind w:firstLine="197"/>
        <w:jc w:val="left"/>
        <w:keepLines w:val="0"/>
        <w:keepNext w:val="0"/>
        <w:pageBreakBefore w:val="0"/>
        <w:spacing w:line="360" w:lineRule="auto"/>
        <w:widowControl/>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lang w:val="zh-CN"/>
        </w:rPr>
        <w:t xml:space="preserve">合同签订，收到乙方发票十个工作日内甲方支付合同价的30%作为预付款；经安装调试验收合格后付至合同金额的60%；项目完成审计后支付至审计价的90%，余款于项目验收合格之日起满三年后付清</w:t>
      </w:r>
      <w:r>
        <w:rPr>
          <w:rFonts w:hint="eastAsia" w:ascii="宋体" w:hAnsi="宋体" w:cs="宋体"/>
          <w:color w:val="auto"/>
          <w:szCs w:val="21"/>
          <w:highlight w:val="none"/>
        </w:rPr>
        <w:t xml:space="preserve">。</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九、税费</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本合同执行中相关的一切税费均由乙方负担。</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十、项目验收</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10.1甲方依法组织履约验收工作。</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500元/日的违约金，由甲方从待付合同款项中扣除。</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10.3对于实际使用人和甲方分离的项目，甲方邀请实际使用人参与验收。</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10.5甲方成立验收小组，按照采购合同的约定对乙方的履约情况进行验收。验收时,甲方</w:t>
      </w:r>
      <w:r>
        <w:rPr>
          <w:rFonts w:hint="eastAsia" w:ascii="宋体" w:hAnsi="宋体" w:eastAsia="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rPr>
        <w:t xml:space="preserve">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民法典》。乙方在履约过程中有政府采购法律法规规定的违法违规情形的,甲方将及时报告本级财政部门。</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十一、违约责任</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的违约金。</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11.2甲方无故逾期验收和办理合同款项支付手续的,甲方应按逾期付款总额</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lang w:val="en-US" w:eastAsia="zh-CN" w:bidi="ar-SA"/>
        </w:rPr>
        <w:t xml:space="preserve">每日向乙方支付违约金。</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的违约金，如造成甲方损失超过违约金的，超出部分由乙方继续承担赔偿责任。</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11.4乙方所提供服务的标准不符合合同规定及招标文件规定标准的，甲方有权拒绝接受服务，并可单方面解除合同。</w:t>
      </w:r>
      <w:r/>
    </w:p>
    <w:p>
      <w:pPr>
        <w:pStyle w:val="1259"/>
        <w:ind w:firstLine="198"/>
        <w:jc w:val="both"/>
        <w:keepLines w:val="0"/>
        <w:keepNext w:val="0"/>
        <w:pageBreakBefore w:val="0"/>
        <w:spacing w:beforeAutospacing="0" w:afterAutospacing="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十</w:t>
      </w: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安全要求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.1保密安全要求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乙方在信息化建设过程中，应配合甲方，落实如下安全保密要求。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（1）明确合作事项的安全保密责任人；</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（2）对参与人员提出与合作事项有关的安全保密要求；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（3）及时清除离职、离岗或者不再参与公安信息化建设的员工持有的甲方文档资料、数据等内容；</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（4）对本单位参与公安信息化建设安全保密责任落实情况进行年度评估，并向甲方提交评估报告；</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（5）在得知提供的产品、服务存在安全漏洞或者危害信息系统安全的潜在风险时，须第一时间报告甲方，并及时启动应急预案，提出解决方案；</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（6）乙方及其工作人员严禁未经批准翻阅、复印、拍摄甲方内部文件，或者将甲方内部文件带离指定办公场所或者区域；</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（7）其他应当遵守的安全保密要求。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.2数据安全要求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乙方及其工作人员在信息化建设过程中不得从事下列危害甲方数据安全的行为。</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（1）违规下载、留存、使用公安内部数据；</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（2）算改、毁损、泄露、出售公安内部数据；</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（3）向境外机构和人员提供公安重要数据；</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（4）在互联网上存储、处理、传输公安内部数据和应用系统源代码；</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（5）使用未经过脱敏的公安敏感数据在互联网上进行开发；</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（6）将公安数据用于商业用途；</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（7）其他危害数据安全的行为。</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.3网络应用安全要求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乙方及其工作人员不得从事下列危害甲方网络和应用安全的行为。</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（1）违规将公安网络与任何外部网络连接；</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（2）擅自扫描、探测、入侵公安网络及应用系统；</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（3）设置应用系统后门、木马、病毒等恶意程序；</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（4）擅自将参与单位及参与人员的终端、移动存储介质、无线设备等与公安网络连接；</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（5）擅自建立跨网、跨域数据传输或者运维通道；</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（6）拆除、破坏公安监管设施或者卸载监管程序；</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（7）擅自对公安应用源文件、应用源代码进行反编译、加密、解密；</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（8）擅自公开与合作事项相关的技术实现方法或者业务模型等重要信息；</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（9）其他危害公安网络和应用安全的行为。</w:t>
      </w:r>
      <w:r/>
    </w:p>
    <w:p>
      <w:pPr>
        <w:ind w:firstLine="198"/>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、不可抗力事件处理</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.1在合同有效期内，任何一方因不可抗力事件导致不能履行合同，则合同履行期可延长，其延长期与不可抗力影响期相同。</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13.2不可抗力事件发生后，应立即通知对方，并寄送有关权威机构出具的证明。</w:t>
      </w:r>
      <w:r/>
    </w:p>
    <w:p>
      <w:pPr>
        <w:ind w:firstLine="197"/>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13.3不可抗力事件延续120天以上，双方应通过友好协商，确定是否继续履行合同。</w:t>
      </w:r>
      <w:r/>
    </w:p>
    <w:p>
      <w:pPr>
        <w:ind w:firstLine="198"/>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十四、解决争议的方法</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双方在签订、履行合同中所发生的一切争议，应通过友好协商解决。如协商不成，由</w:t>
      </w:r>
      <w:r>
        <w:rPr>
          <w:rFonts w:hint="eastAsia" w:ascii="宋体" w:hAnsi="宋体" w:eastAsia="宋体" w:cs="宋体"/>
          <w:color w:val="auto"/>
          <w:sz w:val="21"/>
          <w:szCs w:val="21"/>
          <w:highlight w:val="none"/>
        </w:rPr>
        <w:t xml:space="preserve">甲方住所地人民法院管辖。</w:t>
      </w:r>
      <w:r/>
    </w:p>
    <w:p>
      <w:pPr>
        <w:ind w:firstLine="198"/>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十五、合同生效及其他</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.1合同经双方法定代表人或授权委托代表人签字并加盖单位公章后生效。</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民法典》、《</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政府采购法》有关条文执行。</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.3本合同正本一式两份，具有同等法律效力，甲方、乙方各执一份。</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甲方：                 乙方： </w:t>
      </w:r>
      <w:r/>
    </w:p>
    <w:p>
      <w:pPr>
        <w:pStyle w:val="1259"/>
        <w:ind w:firstLine="197"/>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法定代表人或授权代表：</w:t>
      </w:r>
      <w:r/>
    </w:p>
    <w:p>
      <w:pPr>
        <w:ind w:firstLine="197"/>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          </w:t>
      </w:r>
      <w:r/>
    </w:p>
    <w:p>
      <w:pPr>
        <w:ind w:firstLine="197"/>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签订日期：    年    月   日</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附件1：</w:t>
      </w:r>
      <w:r/>
    </w:p>
    <w:p>
      <w:pPr>
        <w:pStyle w:val="127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7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项目建设供应商承诺函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对未列出的其他事项，严格按照法律法规等具体规定执行。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现承诺，我单位在履行</w:t>
      </w:r>
      <w:r>
        <w:rPr>
          <w:rFonts w:hint="eastAsia" w:ascii="宋体" w:hAnsi="宋体" w:cs="宋体"/>
          <w:color w:val="auto"/>
          <w:sz w:val="21"/>
          <w:szCs w:val="21"/>
          <w:highlight w:val="none"/>
          <w:u w:val="single"/>
        </w:rPr>
        <w:t xml:space="preserve">    盐城市公安局大数据支队新一代公安信息网安全访问项目  </w:t>
      </w:r>
      <w:r>
        <w:rPr>
          <w:rFonts w:hint="eastAsia" w:ascii="宋体" w:hAnsi="宋体" w:cs="宋体"/>
          <w:color w:val="auto"/>
          <w:sz w:val="21"/>
          <w:szCs w:val="21"/>
          <w:highlight w:val="none"/>
        </w:rPr>
        <w:t xml:space="preserve">的项目建设中，将严格按照提示函的内容和要求执行，如若违反愿意承担相应的责任。</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259"/>
        <w:jc w:val="center"/>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供应商项目负责人（签字）：            联系方式：</w:t>
      </w:r>
      <w:r/>
    </w:p>
    <w:p>
      <w:pPr>
        <w:rPr>
          <w:rFonts w:ascii="宋体" w:hAnsi="宋体" w:cs="宋体"/>
          <w:color w:val="auto"/>
          <w:highlight w:val="none"/>
        </w:rPr>
      </w:pPr>
      <w:r>
        <w:rPr>
          <w:rFonts w:ascii="宋体" w:hAnsi="宋体" w:cs="宋体"/>
          <w:color w:val="auto"/>
          <w:highlight w:val="none"/>
        </w:rPr>
      </w:r>
      <w:bookmarkEnd w:id="169"/>
      <w:r/>
      <w:r/>
    </w:p>
    <w:p>
      <w:pPr>
        <w:jc w:val="center"/>
        <w:rPr>
          <w:rFonts w:ascii="宋体" w:hAnsi="宋体" w:cs="宋体"/>
          <w:b/>
          <w:bCs/>
          <w:color w:val="auto"/>
          <w:spacing w:val="-20"/>
          <w:sz w:val="48"/>
          <w:szCs w:val="48"/>
          <w:highlight w:val="none"/>
        </w:rPr>
      </w:pPr>
      <w:r/>
      <w:bookmarkStart w:id="170" w:name="_Toc3995"/>
      <w:r/>
      <w:r/>
    </w:p>
    <w:p>
      <w:pPr>
        <w:jc w:val="center"/>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单位名称（盖章）：</w:t>
      </w:r>
      <w:r/>
    </w:p>
    <w:p>
      <w:pPr>
        <w:jc w:val="left"/>
        <w:spacing w:line="499"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bookmarkEnd w:id="170"/>
      <w:r/>
      <w:r/>
    </w:p>
    <w:p>
      <w:pPr>
        <w:pStyle w:val="1259"/>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1259"/>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59"/>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60"/>
      <w:r/>
      <w:bookmarkEnd w:id="161"/>
      <w:r/>
      <w:bookmarkEnd w:id="162"/>
      <w:r/>
      <w:bookmarkEnd w:id="163"/>
      <w:r/>
      <w:bookmarkEnd w:id="164"/>
      <w:r/>
      <w:r/>
    </w:p>
    <w:p>
      <w:pPr>
        <w:pStyle w:val="1259"/>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1"/>
          <w:szCs w:val="21"/>
          <w:highlight w:val="none"/>
          <w:shd w:val="clear" w:color="auto" w:fill="auto"/>
        </w:rPr>
      </w:pPr>
      <w:r/>
      <w:bookmarkStart w:id="171" w:name="_Toc26554093"/>
      <w:r/>
      <w:bookmarkStart w:id="172" w:name="_Toc49090575"/>
      <w:r>
        <w:rPr>
          <w:rFonts w:hint="eastAsia" w:asciiTheme="minorEastAsia" w:hAnsiTheme="minorEastAsia" w:eastAsiaTheme="minorEastAsia" w:cstheme="minorEastAsia"/>
          <w:color w:val="auto"/>
          <w:sz w:val="21"/>
          <w:szCs w:val="21"/>
          <w:highlight w:val="none"/>
        </w:rPr>
        <w:t xml:space="preserve">项目属性:货物类项目</w:t>
      </w:r>
      <w:r>
        <w:rPr>
          <w:rFonts w:hint="eastAsia" w:asciiTheme="minorEastAsia" w:hAnsiTheme="minorEastAsia" w:eastAsiaTheme="minorEastAsia" w:cstheme="minorEastAsia"/>
          <w:color w:val="auto"/>
          <w:sz w:val="21"/>
          <w:szCs w:val="21"/>
          <w:highlight w:val="none"/>
          <w:shd w:val="clear" w:color="auto" w:fill="auto"/>
        </w:rPr>
        <w:t xml:space="preserve">。</w:t>
      </w:r>
      <w:bookmarkEnd w:id="171"/>
      <w:r/>
      <w:bookmarkEnd w:id="172"/>
      <w:r/>
      <w:r/>
    </w:p>
    <w:p>
      <w:pPr>
        <w:pStyle w:val="1259"/>
        <w:jc w:val="both"/>
        <w:keepLines w:val="0"/>
        <w:keepNext w:val="0"/>
        <w:pageBreakBefore w:val="0"/>
        <w:spacing w:beforeAutospacing="0" w:afterAutospacing="0" w:line="360" w:lineRule="auto"/>
        <w:widowControl w:val="off"/>
        <w:rPr>
          <w:rFonts w:hint="default" w:asciiTheme="minorEastAsia" w:hAnsiTheme="minorEastAsia" w:eastAsiaTheme="minorEastAsia" w:cstheme="minorEastAsia"/>
          <w:color w:val="auto"/>
          <w:sz w:val="21"/>
          <w:szCs w:val="21"/>
          <w:highlight w:val="none"/>
          <w:u w:val="single"/>
          <w:shd w:val="clear" w:color="auto" w:fill="auto"/>
          <w:lang w:val="en-US" w:eastAsia="zh-CN"/>
        </w:rPr>
      </w:pPr>
      <w:r>
        <w:rPr>
          <w:rFonts w:hint="eastAsia" w:asciiTheme="minorEastAsia" w:hAnsiTheme="minorEastAsia" w:eastAsiaTheme="minorEastAsia" w:cstheme="minorEastAsia"/>
          <w:color w:val="auto"/>
          <w:sz w:val="21"/>
          <w:szCs w:val="21"/>
          <w:highlight w:val="none"/>
        </w:rPr>
        <w:t xml:space="preserve">本项目核心产品为</w:t>
      </w:r>
      <w:r>
        <w:rPr>
          <w:rFonts w:hint="eastAsia" w:asciiTheme="minorEastAsia" w:hAnsiTheme="minorEastAsia" w:cstheme="minorEastAsia"/>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single"/>
          <w:lang w:val="en-US" w:eastAsia="zh-CN" w:bidi="ar"/>
        </w:rPr>
        <w:t xml:space="preserve">认证中心模块、权限管理中心模块</w:t>
      </w:r>
      <w:r>
        <w:rPr>
          <w:rFonts w:hint="eastAsia" w:asciiTheme="minorEastAsia" w:hAnsiTheme="minorEastAsia" w:cstheme="minorEastAsia"/>
          <w:color w:val="auto"/>
          <w:sz w:val="21"/>
          <w:szCs w:val="21"/>
          <w:highlight w:val="none"/>
          <w:u w:val="single"/>
          <w:lang w:val="en-US" w:eastAsia="zh-CN"/>
        </w:rPr>
        <w:t xml:space="preserve"> </w:t>
      </w:r>
      <w:r/>
    </w:p>
    <w:p>
      <w:pPr>
        <w:ind w:firstLine="420"/>
        <w:jc w:val="left"/>
        <w:spacing w:line="48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一、项目概述</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1.项目名称：盐城市公安局大数据支队新一代公安信息网安全访问项目</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2.预算金额（最高限价）：412万</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项目简介</w:t>
      </w:r>
      <w:r>
        <w:rPr>
          <w:rFonts w:hint="eastAsia" w:asciiTheme="minorEastAsia" w:hAnsiTheme="minorEastAsia" w:eastAsiaTheme="minorEastAsia" w:cstheme="minorEastAsia"/>
          <w:color w:val="auto"/>
          <w:sz w:val="21"/>
          <w:szCs w:val="21"/>
          <w:highlight w:val="none"/>
          <w:lang w:val="en-US" w:eastAsia="zh-CN"/>
        </w:rPr>
        <w:t xml:space="preserve">：盐城市公安局大数据支队新一代公安信息网安全访问项目，通过建设新一代公安信息网安全访问项目，实现现有公安网与新一代公安信息网之间数据、应用系统安全访问</w:t>
      </w:r>
      <w:r>
        <w:rPr>
          <w:rFonts w:hint="eastAsia" w:asciiTheme="minorEastAsia" w:hAnsiTheme="minorEastAsia" w:cstheme="minorEastAsia"/>
          <w:color w:val="auto"/>
          <w:sz w:val="21"/>
          <w:szCs w:val="21"/>
          <w:highlight w:val="none"/>
          <w:lang w:val="en-US" w:eastAsia="zh-CN"/>
        </w:rPr>
        <w:t xml:space="preserve">。</w:t>
      </w:r>
      <w:r/>
    </w:p>
    <w:p>
      <w:pPr>
        <w:ind w:firstLine="420"/>
        <w:jc w:val="left"/>
        <w:spacing w:line="480" w:lineRule="exact"/>
        <w:widowControl/>
        <w:rPr>
          <w:rFonts w:hint="eastAsia" w:ascii="宋体" w:hAnsi="宋体" w:eastAsia="宋体" w:cs="宋体"/>
          <w:b/>
          <w:bCs/>
          <w:i w:val="0"/>
          <w:iCs w:val="0"/>
          <w:color w:val="auto"/>
          <w:sz w:val="21"/>
          <w:szCs w:val="21"/>
          <w:highlight w:val="none"/>
          <w:u w:val="singl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4.供货期：</w:t>
      </w:r>
      <w:r>
        <w:rPr>
          <w:rFonts w:hint="eastAsia" w:ascii="宋体" w:hAnsi="宋体" w:eastAsia="宋体" w:cs="宋体"/>
          <w:b/>
          <w:bCs/>
          <w:i w:val="0"/>
          <w:iCs w:val="0"/>
          <w:color w:val="auto"/>
          <w:sz w:val="21"/>
          <w:szCs w:val="21"/>
          <w:highlight w:val="none"/>
          <w:u w:val="single"/>
          <w:lang w:val="en-US" w:eastAsia="zh-CN" w:bidi="ar"/>
        </w:rPr>
        <w:t xml:space="preserve">60日</w:t>
      </w:r>
      <w:r/>
    </w:p>
    <w:p>
      <w:pPr>
        <w:ind w:firstLine="420"/>
        <w:jc w:val="left"/>
        <w:spacing w:line="48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5.质保期限：</w:t>
      </w:r>
      <w:r>
        <w:rPr>
          <w:rFonts w:hint="eastAsia" w:asciiTheme="minorEastAsia" w:hAnsiTheme="minorEastAsia" w:cstheme="minorEastAsia"/>
          <w:color w:val="auto"/>
          <w:sz w:val="21"/>
          <w:szCs w:val="21"/>
          <w:highlight w:val="none"/>
          <w:lang w:val="en-US" w:eastAsia="zh-CN"/>
        </w:rPr>
        <w:t xml:space="preserve">3年</w:t>
      </w:r>
      <w:r/>
    </w:p>
    <w:p>
      <w:pPr>
        <w:ind w:firstLine="420"/>
        <w:jc w:val="left"/>
        <w:spacing w:line="48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二、采购项目整体要求</w:t>
      </w:r>
      <w:r/>
    </w:p>
    <w:p>
      <w:pPr>
        <w:ind w:firstLine="420"/>
        <w:jc w:val="left"/>
        <w:spacing w:line="480" w:lineRule="exact"/>
        <w:widowControl/>
        <w:rPr>
          <w:rFonts w:hint="eastAsia" w:asciiTheme="minorEastAsia" w:hAnsiTheme="minorEastAsia" w:eastAsiaTheme="minorEastAsia" w:cstheme="minorEastAsia"/>
          <w:i/>
          <w:iCs/>
          <w:color w:val="auto"/>
          <w:sz w:val="21"/>
          <w:szCs w:val="21"/>
          <w:highlight w:val="none"/>
          <w:u w:val="single"/>
          <w:lang w:val="en-US" w:eastAsia="zh-CN"/>
        </w:rPr>
      </w:pPr>
      <w:r>
        <w:rPr>
          <w:rFonts w:hint="eastAsia" w:asciiTheme="minorEastAsia" w:hAnsiTheme="minorEastAsia" w:eastAsiaTheme="minorEastAsia" w:cstheme="minorEastAsia"/>
          <w:i/>
          <w:iCs/>
          <w:color w:val="auto"/>
          <w:sz w:val="21"/>
          <w:szCs w:val="21"/>
          <w:highlight w:val="none"/>
          <w:u w:val="single"/>
          <w:lang w:val="en-US" w:eastAsia="zh-CN"/>
        </w:rPr>
        <w:t xml:space="preserve">1、项目服务期内</w:t>
      </w:r>
      <w:r>
        <w:rPr>
          <w:rFonts w:hint="eastAsia" w:asciiTheme="minorEastAsia" w:hAnsiTheme="minorEastAsia" w:cstheme="minorEastAsia"/>
          <w:i/>
          <w:iCs/>
          <w:color w:val="auto"/>
          <w:sz w:val="21"/>
          <w:szCs w:val="21"/>
          <w:highlight w:val="none"/>
          <w:u w:val="single"/>
          <w:lang w:val="en-US" w:eastAsia="zh-CN"/>
        </w:rPr>
        <w:t xml:space="preserve">（三年）</w:t>
      </w:r>
      <w:r>
        <w:rPr>
          <w:rFonts w:hint="eastAsia" w:asciiTheme="minorEastAsia" w:hAnsiTheme="minorEastAsia" w:eastAsiaTheme="minorEastAsia" w:cstheme="minorEastAsia"/>
          <w:i/>
          <w:iCs/>
          <w:color w:val="auto"/>
          <w:sz w:val="21"/>
          <w:szCs w:val="21"/>
          <w:highlight w:val="none"/>
          <w:u w:val="single"/>
          <w:lang w:val="en-US" w:eastAsia="zh-CN"/>
        </w:rPr>
        <w:t xml:space="preserve">相关产品厂商需配合本地应用对接改造、部省业务对接改造，提供技术讲解、部标培训、业务配合对接等服务。</w:t>
      </w:r>
      <w:r>
        <w:rPr>
          <w:rFonts w:hint="eastAsia" w:asciiTheme="minorEastAsia" w:hAnsiTheme="minorEastAsia" w:cstheme="minorEastAsia"/>
          <w:i/>
          <w:iCs/>
          <w:color w:val="auto"/>
          <w:sz w:val="21"/>
          <w:szCs w:val="21"/>
          <w:highlight w:val="none"/>
          <w:u w:val="single"/>
          <w:lang w:val="en-US" w:eastAsia="zh-CN"/>
        </w:rPr>
        <w:t xml:space="preserve">【投标时</w:t>
      </w:r>
      <w:r>
        <w:rPr>
          <w:rFonts w:hint="eastAsia"/>
          <w:i/>
          <w:iCs/>
          <w:color w:val="auto"/>
          <w:highlight w:val="none"/>
          <w:u w:val="single"/>
          <w:lang w:val="en-US" w:eastAsia="zh-CN"/>
        </w:rPr>
        <w:t xml:space="preserve">提供相关承诺函（格式自拟）并加盖投标人公章，实质性条款不接受负偏离</w:t>
      </w:r>
      <w:r>
        <w:rPr>
          <w:rFonts w:hint="eastAsia" w:asciiTheme="minorEastAsia" w:hAnsiTheme="minorEastAsia" w:cstheme="minorEastAsia"/>
          <w:i/>
          <w:iCs/>
          <w:color w:val="auto"/>
          <w:sz w:val="21"/>
          <w:szCs w:val="21"/>
          <w:highlight w:val="none"/>
          <w:u w:val="single"/>
          <w:lang w:val="en-US" w:eastAsia="zh-CN"/>
        </w:rPr>
        <w:t xml:space="preserve">】</w:t>
      </w:r>
      <w:r/>
    </w:p>
    <w:p>
      <w:pPr>
        <w:ind w:firstLine="420"/>
        <w:jc w:val="left"/>
        <w:spacing w:line="480" w:lineRule="exact"/>
        <w:widowControl/>
        <w:rPr>
          <w:rFonts w:hint="eastAsia" w:asciiTheme="minorEastAsia" w:hAnsiTheme="minorEastAsia" w:cstheme="minorEastAsia"/>
          <w:i/>
          <w:iCs/>
          <w:color w:val="auto"/>
          <w:sz w:val="21"/>
          <w:szCs w:val="21"/>
          <w:highlight w:val="none"/>
          <w:u w:val="single"/>
          <w:lang w:val="en-US" w:eastAsia="zh-CN"/>
        </w:rPr>
      </w:pPr>
      <w:r>
        <w:rPr>
          <w:rFonts w:hint="eastAsia" w:asciiTheme="minorEastAsia" w:hAnsiTheme="minorEastAsia" w:cstheme="minorEastAsia"/>
          <w:i/>
          <w:iCs/>
          <w:color w:val="auto"/>
          <w:sz w:val="21"/>
          <w:szCs w:val="21"/>
          <w:highlight w:val="none"/>
          <w:u w:val="single"/>
          <w:lang w:val="en-US" w:eastAsia="zh-CN"/>
        </w:rPr>
        <w:t xml:space="preserve">2、项目服务期内（三年）若公安大数据安全有新的标准规范，相关产品厂商需提供免费升级服务，保障项目建设合规性。【投标时提供相关承诺函（格式自拟）并加盖投标人公章，</w:t>
      </w:r>
      <w:r>
        <w:rPr>
          <w:rFonts w:hint="eastAsia"/>
          <w:i/>
          <w:iCs/>
          <w:color w:val="auto"/>
          <w:highlight w:val="none"/>
          <w:u w:val="single"/>
          <w:lang w:val="en-US" w:eastAsia="zh-CN"/>
        </w:rPr>
        <w:t xml:space="preserve">实质性条款不接受负偏离</w:t>
      </w:r>
      <w:r>
        <w:rPr>
          <w:rFonts w:hint="eastAsia" w:asciiTheme="minorEastAsia" w:hAnsiTheme="minorEastAsia" w:cstheme="minorEastAsia"/>
          <w:i/>
          <w:iCs/>
          <w:color w:val="auto"/>
          <w:sz w:val="21"/>
          <w:szCs w:val="21"/>
          <w:highlight w:val="none"/>
          <w:u w:val="single"/>
          <w:lang w:val="en-US" w:eastAsia="zh-CN"/>
        </w:rPr>
        <w:t xml:space="preserve">】</w:t>
      </w:r>
      <w:r/>
    </w:p>
    <w:p>
      <w:pPr>
        <w:ind w:firstLine="420"/>
        <w:jc w:val="left"/>
        <w:spacing w:line="48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三、项目建设内容</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1.建设用户身份校验体系:实现对用户身份、使用权限的全流程验证,确保安全合规使用数据域资源。主要包含认证中心、权限中心、审计中心、审批中心、环境感知中心等模块。</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2.建设用户访问通道:为用户域用户进入数据域的人员身份校验提供通道，主要包含可信接入检控、零信任服务代理等模块。</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3.建设业务协同通道:为用户域使用数据域的系统、API接口校验提供通道，主要包含业务协同代理、可信应用检控等模块。</w:t>
      </w:r>
      <w:r/>
    </w:p>
    <w:p>
      <w:pPr>
        <w:ind w:firstLine="420"/>
        <w:jc w:val="left"/>
        <w:spacing w:line="48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4.建设数据交换通道:为用户域与数据域之间数据交互校验提供通道，主要包含可信数据检控、接口转发、交换机等模块。</w:t>
      </w:r>
      <w:r/>
    </w:p>
    <w:p>
      <w:pPr>
        <w:ind w:firstLine="420"/>
        <w:jc w:val="left"/>
        <w:spacing w:line="480" w:lineRule="exact"/>
        <w:widowControl/>
        <w:rPr>
          <w:rFonts w:hint="eastAsia" w:ascii="宋体" w:hAnsi="宋体" w:cs="宋体"/>
          <w:b/>
          <w:bCs/>
          <w:color w:val="auto"/>
          <w:szCs w:val="21"/>
          <w:highlight w:val="none"/>
          <w:lang w:eastAsia="zh-CN"/>
        </w:rPr>
      </w:pPr>
      <w:r>
        <w:rPr>
          <w:rFonts w:hint="eastAsia" w:asciiTheme="minorEastAsia" w:hAnsiTheme="minorEastAsia" w:cstheme="minorEastAsia"/>
          <w:i/>
          <w:iCs/>
          <w:color w:val="auto"/>
          <w:sz w:val="21"/>
          <w:szCs w:val="21"/>
          <w:highlight w:val="none"/>
          <w:u w:val="single"/>
          <w:lang w:val="en-US" w:eastAsia="zh-CN"/>
        </w:rPr>
        <w:t xml:space="preserve">5.本项目建成后需实现与省厅零信任体系上下联动，具备与部、省进行数据同步、与零信任体系的对接，且满足公安部大数据安全标准符合性评测要求合格率达到98%以上。项目验收前提供具备合法正规资质的第三方检测机构出具的有效检测报告。【投标时提供相关承诺函（格式自拟）并加盖投标人公章，实质性条款不接受负偏离】</w:t>
      </w:r>
      <w:r/>
    </w:p>
    <w:p>
      <w:pPr>
        <w:ind w:firstLine="422"/>
        <w:spacing w:line="540" w:lineRule="exact"/>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四</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项目</w:t>
      </w:r>
      <w:r>
        <w:rPr>
          <w:rFonts w:hint="eastAsia" w:ascii="宋体" w:hAnsi="宋体" w:cs="宋体"/>
          <w:b/>
          <w:bCs/>
          <w:color w:val="auto"/>
          <w:szCs w:val="21"/>
          <w:highlight w:val="none"/>
          <w:lang w:val="en-US" w:eastAsia="zh-CN"/>
        </w:rPr>
        <w:t xml:space="preserve">清单</w:t>
      </w:r>
      <w:r/>
    </w:p>
    <w:tbl>
      <w:tblPr>
        <w:tblStyle w:val="1252"/>
        <w:tblW w:w="10645" w:type="dxa"/>
        <w:tblInd w:w="-1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6"/>
        <w:gridCol w:w="760"/>
        <w:gridCol w:w="6999"/>
        <w:gridCol w:w="501"/>
        <w:gridCol w:w="601"/>
        <w:gridCol w:w="1308"/>
      </w:tblGrid>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对应中小企业划分标准所属行业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认证中心模块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pStyle w:val="1271"/>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《GA DSJ 351-2020 公安大数据安全 零信任体系技术设计要求》</w:t>
            </w:r>
            <w:r>
              <w:rPr>
                <w:rFonts w:hint="eastAsia" w:ascii="宋体" w:hAnsi="宋体" w:eastAsia="宋体" w:cs="宋体"/>
                <w:color w:val="auto"/>
                <w:sz w:val="21"/>
                <w:szCs w:val="21"/>
                <w:highlight w:val="none"/>
                <w:lang w:eastAsia="zh-CN"/>
              </w:rPr>
              <w:t xml:space="preserve">、《GA</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DSJ</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361.1公安大数据安全零信任体系与应用接口技术要求》、《GA/DSJ361.2公安大数据安全零信任体系令牌技术要求》</w:t>
            </w:r>
            <w:r>
              <w:rPr>
                <w:rFonts w:hint="eastAsia" w:ascii="宋体" w:hAnsi="宋体" w:eastAsia="宋体" w:cs="宋体"/>
                <w:color w:val="auto"/>
                <w:sz w:val="21"/>
                <w:szCs w:val="21"/>
                <w:highlight w:val="none"/>
              </w:rPr>
              <w:t xml:space="preserve">等规范文档中对认证服务的要求</w:t>
            </w:r>
            <w:r>
              <w:rPr>
                <w:rFonts w:hint="eastAsia" w:ascii="宋体" w:hAnsi="宋体" w:eastAsia="宋体" w:cs="宋体"/>
                <w:color w:val="auto"/>
                <w:sz w:val="21"/>
                <w:szCs w:val="21"/>
                <w:highlight w:val="none"/>
                <w:lang w:eastAsia="zh-CN"/>
              </w:rPr>
              <w:t xml:space="preserve">。</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颁发的令牌包括用户令牌和应用令牌；用户令牌和应用令牌的令牌信息满足标准规范；支持国密算法，保证令牌信息的机密性；支持令牌防篡改，保证令牌全生命周期的完整性；支持令牌在各使用节点的验证机制；支持令牌全生命周期的管理；支持根据接收到的风险指令或自有策略判断结果，调整相应令牌状态；支持将令牌及其状态通知给需要核验令牌的相关方；提供以应用为主体获取令牌方式；认证客户端离线令牌签发；离线令牌核验。</w:t>
            </w:r>
            <w:r/>
          </w:p>
          <w:p>
            <w:pPr>
              <w:pStyle w:val="1271"/>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3.支持根据配置确定应用的认证方式，然后调用对应的认证因子进行认证；支持根据各认证因子反馈的认证结果进行综合判定，根据结果签发令牌；支持进行持续认证；在认证过程中能做到风险检测输出及处理。</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组织机构和用户信息的内容符合标准规范；支持统一存储、集中管理；支持组织机构内容和用户信息的管理，包括但不限于增、删、改、查；支持不同节点间组织机构信息和用户信息的同步；支持建立组织机构和行政地区关联关系及用户和组织机构关联关系；支持组织机构内容和用户信息分级分权限管理；支持登记和管理用户认证因子信息，支持移动调整架构层级；用户、组织机构的批量导入、冲突数据、问题数据处置。</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5.支持应用信息符合标准规范；支持从大数据平台应用资源目录联动；支持应用关联的认证方式配置；支持根据应用关联的认证方式进行补充认证；支持应用同步；支持服务同步。</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认证因子（包括PKI/CA数字证书认证、生物特征认证、动态口令认证）类型和信息需满足标准规范；支持认证因子信息的管理，包括但不限于增、删、改、查；支持认证因子的标准化接入和管理；支持主动生物识别、动态检测、活体检测等措施与多因子认证的组合；支持组合不同的认证因子满足不同的安全级别需求；支持持续认证、设备认证、应用认证。</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代理跨网跨域访问认证服务；支持代理与认证服务间加密通信；支持代理接收并转发用户发起的认证请求，参与完成认证过程；支持向用户返回用户令牌和应用令牌；支持认证客户端能力，加密保护用户令牌和应用令牌。</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8.支持多维度日志记录；支持相关认证因子认证日志的接收；支持日志的标准化输出到审计平台；支持用户令牌、应用令牌日志查询、令牌下线查询、主体列表查询。</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9.支持定义风险策略，将检测到的风险上报至业务安全策略;支持接收业务安全策略控制服务发送的控制指令，包括但不限于令牌下线、发起二次认证等。</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10.支持与权限、审计、审批、业务安全策略控制服务及业务应用的联动。</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11.提供统一API接口。</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12.支持对接环境感知客户端，接收终端MID，从业务安全策略获取MID对应的评分，当评分低于设定的阈值时，可判断为终端不安全，限制此终端登录。</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13.提供统一门户。</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支持上下线（部、省、市认证服务）联动；支持部平台认证服务为直接访问部级应用的用户提供身份认证服务；支持省、市级认证服务为访问各省市本地应用的用户提供身份认证服务；支持部、省、市间认证服务令牌异步核验的接口。</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15.支持C/S、B/S系统的单点登录和单点退出，密码过期可以忽略直接登录。</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支持基于环境感知采集的设备数据构建统一设备库，管理员可以标记设备为BYOD/CYOD，设置设备状态以控制能否通过设备访问，支持维护设备与人的关系，可以控制一个用户可以使用的设备数量，或者控制设备能绑定用户的数量。</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17.支持为API访问发起方分配API账号（AppID 和 AppSecret），支持API服务器地址管理，API请求URI，请求方法的管理。</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18.支持休眠账号发现：分析系统中长时间未使用的账号，支持共用账号发现：多人共用账号，支持特权账号发现：应用系统中的admin、root等特性账号。</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19.支持CPU、内存、磁盘等指标采集。</w:t>
            </w:r>
            <w:r/>
          </w:p>
          <w:p>
            <w:pPr>
              <w:jc w:val="left"/>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20、提供满足GA DSJ 361-2022 《公安大数据安全 零信任体系与应用接口技术要求》的认证相关接口。</w:t>
            </w:r>
            <w:r/>
          </w:p>
          <w:p>
            <w:pPr>
              <w:jc w:val="left"/>
              <w:keepLines w:val="0"/>
              <w:keepNext w:val="0"/>
              <w:spacing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 xml:space="preserve">认证中心对接系统数无数量限制。</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rPr>
              <w:t xml:space="preserve">需提供</w:t>
            </w:r>
            <w:r>
              <w:rPr>
                <w:rFonts w:hint="eastAsia" w:ascii="宋体" w:hAnsi="宋体" w:eastAsia="宋体" w:cs="宋体"/>
                <w:b/>
                <w:bCs/>
                <w:color w:val="auto"/>
                <w:sz w:val="21"/>
                <w:szCs w:val="21"/>
                <w:highlight w:val="none"/>
                <w:lang w:val="en-US" w:eastAsia="zh-CN"/>
              </w:rPr>
              <w:t xml:space="preserve">承诺函并加盖投标人公章</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权限管理中心模块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pStyle w:val="1271"/>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《GA DSJ 351-2020 公安大数据安全 零信任体系技术设计要求》</w:t>
            </w:r>
            <w:r>
              <w:rPr>
                <w:rFonts w:hint="eastAsia" w:ascii="宋体" w:hAnsi="宋体" w:eastAsia="宋体" w:cs="宋体"/>
                <w:color w:val="auto"/>
                <w:sz w:val="21"/>
                <w:szCs w:val="21"/>
                <w:highlight w:val="none"/>
                <w:lang w:eastAsia="zh-CN"/>
              </w:rPr>
              <w:t xml:space="preserve">、《GA</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DSJ</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361.1公安大数据安全零信任体系与应用接口技术要求》、《GA/DSJ361.2公安大数据安全零信任体系令牌技术要求》</w:t>
            </w:r>
            <w:r>
              <w:rPr>
                <w:rFonts w:hint="eastAsia" w:ascii="宋体" w:hAnsi="宋体" w:eastAsia="宋体" w:cs="宋体"/>
                <w:color w:val="auto"/>
                <w:sz w:val="21"/>
                <w:szCs w:val="21"/>
                <w:highlight w:val="none"/>
              </w:rPr>
              <w:t xml:space="preserve">等规范文档中对权限管理服务的要求</w:t>
            </w:r>
            <w:r>
              <w:rPr>
                <w:rFonts w:hint="eastAsia" w:ascii="宋体" w:hAnsi="宋体" w:eastAsia="宋体" w:cs="宋体"/>
                <w:color w:val="auto"/>
                <w:sz w:val="21"/>
                <w:szCs w:val="21"/>
                <w:highlight w:val="none"/>
                <w:lang w:eastAsia="zh-CN"/>
              </w:rPr>
              <w:t xml:space="preserve">。</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对授权主体和授权客体的管理，包括自定义录入或通过其他平台接收授权主体和授权客体、环境要素录入；支持依据各类条件查询、统计授权主体和授权客体；授权主体的内容包括但不限于用户、组织机构、应用、任务；授权客体的内容包括但不限于应用资源、功能资源、服务资源、数据资源；授权主体客体可以和大数据平台三大资源目录联动，增加数据权限类型：所有、本部门及子部门、本部门、个人数据权限。</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3.支持创建、删除、编辑角色，定义角色的生命周期和关键状态；支持关联工作流实现角色生命周期的管理；支持授权主体与授权客体通过关联角色实现授权，产生授权策略。</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在授权主体与授权客体之间建立映射关系，形成授权策略（静态、动态），实现授权；支持对现有的映射关系进行修改或删除，从而变更授权策略；授权策略内容应符合标准规范；支持用户将自己的权限委托给他人使用并设置委托期限，被委托人能够以自己的身份使用委托人的权限访问应用资源。</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对授权客体访问权限进行申请、撤销和变更等自助管理操作，在流程流转的过程中申请人可实时查看流程审批进度；支持用户自助申请访问权限时通过业务审批服务进行流程审批；支持串行审批、并行审批和条件审批等自定义审批流程；支持对权限自助申请进行风险和违规评估；支持为审批者提供相应风险提示信息。</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能够对携带签名信息的鉴权请求进行验签，对于验签不通过或未按要求携带签名信息的鉴权请求不予进行鉴权；支持应用级、功能级、数据级和服务级鉴权服务；支持通过鉴权请求获取鉴权条件，依据鉴权条件动态返回鉴权结果；支持红/白名单鉴权控制。</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通过用户令牌、应用令牌判断当前访问主体是否在线；支持主动发送访问中鉴权主体权限策略的变化通知；支持对鉴权过程中的非正常鉴权产生预警；支持按照自定义条件统计各类鉴权行为；支持自定义鉴权过程中的风险检测策略，能够将风险信息以及处理建议发送至业务安全策略控制服务。</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8.支持应用级、功能级、数据级和服务级鉴权缺少必要参数时鉴权失败处理及鉴权规则。</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9.支持以日志的形式记录日志，包括令牌处理日志、授权管理日志、鉴权服务日志和风险日志并支持各类日志发送至审计服务。</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10.支持与认证、审计、审批、业务安全策略控制服务及业务应用/应用服务/数据服务的联动。</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11.支持上下级联动：支持权限服务在部级、省市级分别部署；部级可定义全局授权策略，下发至省市级，省市级只可使用该全局授权策略，不可修改。</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12.支持应用授权策略管理，策略内容包括策略名称、用户属性条件(环境（评分、风险等级 ）、设备（设备类型、IP、Mac）、信息（警号、身份证、警种等）、组织机构（多选部门）、角色（多选）)、应用访问权限、备注等。包括新增，删除，修改，查询等功能。</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13.支持与接入检控和应用检控的对接，实现各类权限信息的分发。</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14.支持配置基于用户属性(环境、设备、信息、组织机构、角色)的自动化授权策略，实现满足属性条件的用户自动拥有应用访问权限，包括新增，删除，修改，查询等功能。</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15.支持临时授权功能，提供权限的动态自动授予，通过策略、风险、属性等因素动态计算，对用户赋予所需权限，支持时效性。</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16.支持标签管理：动态标签，静态标签，支持标签授权。</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17.支持数据探查，包括数据检控管理中新建 数据库与代理库关联关系，数据检控账号管理 分配代理数据库的账号、密码；数据集管理中，显示已有的数据集及对应数据项，支持手动新增，点击分类（控制表权限）；可对数据项进行行权限设置  （控制行权限）；为数据项设置安全等级、数据项分类，设置行权限，配置数据权限。</w:t>
            </w:r>
            <w:r/>
          </w:p>
          <w:p>
            <w:pPr>
              <w:jc w:val="left"/>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18、提供满足GA DSJ 361-2022 《公安大数据安全 零信任体系与应用接口技术要求》规范的权限相关接口。</w:t>
            </w:r>
            <w:r/>
          </w:p>
          <w:p>
            <w:pPr>
              <w:jc w:val="left"/>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19、权限</w:t>
            </w:r>
            <w:r>
              <w:rPr>
                <w:rFonts w:hint="eastAsia" w:ascii="宋体" w:hAnsi="宋体" w:eastAsia="宋体" w:cs="宋体"/>
                <w:color w:val="auto"/>
                <w:sz w:val="21"/>
                <w:szCs w:val="21"/>
                <w:highlight w:val="none"/>
                <w:lang w:val="en-US" w:eastAsia="zh-CN"/>
              </w:rPr>
              <w:t xml:space="preserve">中心对接系统数无数量限制。</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审批中心模块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pStyle w:val="1271"/>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《GA DSJ 351-2020 公安大数据安全 零信任体系技术设计要求》</w:t>
            </w:r>
            <w:r>
              <w:rPr>
                <w:rFonts w:hint="eastAsia" w:ascii="宋体" w:hAnsi="宋体" w:eastAsia="宋体" w:cs="宋体"/>
                <w:color w:val="auto"/>
                <w:sz w:val="21"/>
                <w:szCs w:val="21"/>
                <w:highlight w:val="none"/>
                <w:lang w:eastAsia="zh-CN"/>
              </w:rPr>
              <w:t xml:space="preserve">、《GA</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DSJ</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361.1公安大数据安全零信任体系与应用接口技术要求》、《GA</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DSJ</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361.2公安大数据安全零信任体系令牌技术要求》</w:t>
            </w:r>
            <w:r>
              <w:rPr>
                <w:rFonts w:hint="eastAsia" w:ascii="宋体" w:hAnsi="宋体" w:eastAsia="宋体" w:cs="宋体"/>
                <w:color w:val="auto"/>
                <w:sz w:val="21"/>
                <w:szCs w:val="21"/>
                <w:highlight w:val="none"/>
              </w:rPr>
              <w:t xml:space="preserve">等规范文档中对审批服务的要求</w:t>
            </w:r>
            <w:r>
              <w:rPr>
                <w:rFonts w:hint="eastAsia" w:ascii="宋体" w:hAnsi="宋体" w:eastAsia="宋体" w:cs="宋体"/>
                <w:color w:val="auto"/>
                <w:sz w:val="21"/>
                <w:szCs w:val="21"/>
                <w:highlight w:val="none"/>
                <w:lang w:eastAsia="zh-CN"/>
              </w:rPr>
              <w:t xml:space="preserve">。</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2.支持审批请求内容符合标准规范，通过审批任务ID对审批请求详情的查询、撤销或删除；支持自定义审批过程中的风险监测策略，能否将风险信息以及处理建议发送至业务安全策略控制服务。</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审批流程模板管理、增、删、改、查流程模板；支持对审批流程表单定制，支持PC端、移动端调用，支持对审批流程进行审批，形成审批单；支持审批流程根据命中权限服务的红/白名单进行动态调整；支持通过审批人数字证书对审批信息签名；支持对审批流程进行业务规则冲突验证；支持查看与本人相关的所有审批流程。</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4.支持通过认证服务获取用户基本信息、组织机构信息；支持为不同类型的审批流程定制流程；支持使用用户、组织机构和角色进行审批流程配置；支持审批过程中风险检测策略配置管理。</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5.支持以日志的形式记录审批流程处理相关的行为日志、审批请求日志、审批操作日志及风险日志并将日志发送至审计服务。</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6.支持与认证、权限、审计、业务安全策略控制服务及业务应用的联动。</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7.支持查看审批提交消息通知数量和具体消息内容，对未读消息设置一键全部已读。</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8.支持查看不同组织机构信息，设置/取消设置部门负责人；支持新增角色组和角色，设置角色成员管理范围；手动同步组织机构和用户。</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为不同类型的审批流程设置指定人员审批、指定角色审批、部门负责人审批、连续多级负责人审批、表单内的联系人审批；催办、支持审批流程添加审批意见、数字证书签名、代他人提交、签章打印、自动化任务（审批单状态变更后置业务逻辑定制）、消息提醒通知、一键审批、 多种回调方式（http/mq）、创建批量审批、 自动免审审批单 等高级设置；审批 表单页定义。</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10.加签、限时审批、自动去重、替审功能。</w:t>
            </w:r>
            <w:r/>
          </w:p>
          <w:p>
            <w:pPr>
              <w:pStyle w:val="1271"/>
              <w:jc w:val="both"/>
              <w:spacing w:line="360" w:lineRule="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rPr>
              <w:t xml:space="preserve">11.提供满足GA DSJ 361-2022 《公安大数据安全 零信任体系与应用接口技术要求》规范的相关审批接口。</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审计中心模块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pStyle w:val="1271"/>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《GA DSJ 351-2020 公安大数据安全 零信任体系技术设计要求》</w:t>
            </w:r>
            <w:r>
              <w:rPr>
                <w:rFonts w:hint="eastAsia" w:ascii="宋体" w:hAnsi="宋体" w:eastAsia="宋体" w:cs="宋体"/>
                <w:color w:val="auto"/>
                <w:sz w:val="21"/>
                <w:szCs w:val="21"/>
                <w:highlight w:val="none"/>
                <w:lang w:eastAsia="zh-CN"/>
              </w:rPr>
              <w:t xml:space="preserve">、《GA</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DSJ</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361.1公安大数据安全零信任体系与应用接口技术要求》、《GA/DSJ361.2公安大数据安全零信任体系令牌技术要求》</w:t>
            </w:r>
            <w:r>
              <w:rPr>
                <w:rFonts w:hint="eastAsia" w:ascii="宋体" w:hAnsi="宋体" w:eastAsia="宋体" w:cs="宋体"/>
                <w:color w:val="auto"/>
                <w:sz w:val="21"/>
                <w:szCs w:val="21"/>
                <w:highlight w:val="none"/>
              </w:rPr>
              <w:t xml:space="preserve">等规范文档中对审计服务的要求</w:t>
            </w:r>
            <w:r>
              <w:rPr>
                <w:rFonts w:hint="eastAsia" w:ascii="宋体" w:hAnsi="宋体" w:eastAsia="宋体" w:cs="宋体"/>
                <w:color w:val="auto"/>
                <w:sz w:val="21"/>
                <w:szCs w:val="21"/>
                <w:highlight w:val="none"/>
                <w:lang w:eastAsia="zh-CN"/>
              </w:rPr>
              <w:t xml:space="preserve">。</w:t>
            </w:r>
            <w:r/>
          </w:p>
          <w:p>
            <w:pPr>
              <w:pStyle w:val="1253"/>
              <w:spacing w:line="360" w:lineRule="auto"/>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t xml:space="preserve">2.支持接收并存储来自认证服务、权限服务、业务审批服务、业务安全策略控制服务、环境感知服务、应用系统操作日志、应用服务、数据服务等业务日志；可以接收三方系统报送的自定义类型业务日志，支持GA DSJ 361-2022 《公安大数据安全 零信任体系与应用接口技术要求》规范要求的接口上报协议，包括但不限于 syslog、netflow、ftp、数据库表接入等多种数据接入方式。</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3.支持部署动态审计专用设备采集高敏数据访问日志。</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应用系统日志包括应用系统报送的业务日志和动态审计专用设备采集的网络流量两种数据；上报的日志中应包含针对该条日志的哈希校验信息；支持通过适配数据库、交换文件等多种采集方式实现原始日志信息的采集；支持日志中共有属性或可分析属性提取；支持配置管理标准化策略，保证审计信息的完整性、统一性；支持根据策略对采集到的日志进行合法性校验和完整性校验，可定位到具体的错误信息，并对采集到的不合法或不完整日志即时发出预警。</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分析模型自定义功能，能发现用户异常行为；审计策略规定审计包括设定数据采集的范围、审计数据的范围等方式，包括策略创建、策略修改、策略删除、策略启停、策略查询等功能；策略类型至少包括基础策略和特定场景策略；提供策略配置规则的前台展示功能。</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6.支持对异常行为进行预警，预警类型、内容、级别等需满足标准规范；支持对审计日志以及预警信息进行人工和自动响应的能力；对异常预警考察支持四种响应方式，包括：告警、通报、核查、反馈。</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7.审计服务的权限控制支持满足标准规范具体要求；支持采集业务应用系统的网络流量；支持接收业务应用系统和服务报送的业务日志；支持接收到的业务日志进行哈希校验及内容校验。</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8.具备动态审计及管控能力；支持对非合规访问进行阻断；支持按照阻断策略，对于后续访问执行阻断；对于高敏感数据能够通过独立的专用设备确保动态审计日志的安全与管控能力。</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9.支持报送日志数据到审计后台。</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10.支持与认证、权限、审批、环境感知、业务安全策略控制服务及应用系统的联动。</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11.日志数据采集有：终端日志、网络设备日志、数据库日志、云平台日志、运维服务日志、应用日志采集服务。</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12.日志汇总，支持对各种类型的日志进行查看。</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13.系统配置，支持注册服务管理 控制各系统上报日志的存储及速率限额、数据字典维护（字典的增、删、改、查）等。</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14.审计日志，日志动态查看配置，支持基于审计注册服务与日志类型的日志动态查询与展示。</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15.审计主体授权，通过给特定用户、组织机构授权，实现对特定日志的查看、审计权限进行控制。</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16.系统参数：支持管理系统参数，控制系统运行性为，系统参数包含内置与自定义两种类型。</w:t>
            </w:r>
            <w:r/>
          </w:p>
          <w:p>
            <w:pPr>
              <w:pStyle w:val="12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17.审计日志统计查看面板：支持按 审计注册服务、日志类型、时间等维度 统计查看日志量、存储量、异常日志量、采集次数。</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18.审计服务自身的监控指标：系统运行时长，已接入数据规模（条数、大小），系统负载和存储使用。</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环境感知模块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环境感知服务负责对终端身份进行不可仿冒标识，对终端环境进行感知和度量，并传递给安全策略控制服务，协助安全策略控制服务完成终端的安全环境核查，从而实现动态访问控制的目的。</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i w:val="0"/>
                <w:iCs w:val="0"/>
                <w:color w:val="auto"/>
                <w:sz w:val="21"/>
                <w:szCs w:val="21"/>
                <w:highlight w:val="none"/>
                <w:u w:val="none"/>
                <w:lang w:val="en-US" w:eastAsia="zh-CN" w:bidi="ar"/>
              </w:rPr>
              <w:t xml:space="preserve">配置环境感知中心软件一套，提供8000点环境感知客户授权，依托全省统一的安全软</w:t>
            </w:r>
            <w:r>
              <w:rPr>
                <w:rFonts w:hint="eastAsia" w:ascii="宋体" w:hAnsi="宋体" w:eastAsia="宋体" w:cs="宋体"/>
                <w:b w:val="0"/>
                <w:bCs w:val="0"/>
                <w:i w:val="0"/>
                <w:iCs w:val="0"/>
                <w:color w:val="auto"/>
                <w:sz w:val="21"/>
                <w:szCs w:val="21"/>
                <w:highlight w:val="none"/>
                <w:u w:val="none"/>
                <w:lang w:val="en-US" w:eastAsia="zh-CN" w:bidi="ar"/>
              </w:rPr>
              <w:t xml:space="preserve">件苏警盾</w:t>
            </w:r>
            <w:r>
              <w:rPr>
                <w:rFonts w:hint="eastAsia" w:ascii="宋体" w:hAnsi="宋体" w:eastAsia="宋体" w:cs="宋体"/>
                <w:b w:val="0"/>
                <w:bCs w:val="0"/>
                <w:i w:val="0"/>
                <w:iCs w:val="0"/>
                <w:strike w:val="0"/>
                <w:color w:val="auto"/>
                <w:sz w:val="21"/>
                <w:szCs w:val="21"/>
                <w:highlight w:val="none"/>
                <w:u w:val="none"/>
                <w:lang w:val="en-US" w:eastAsia="zh-CN" w:bidi="ar"/>
              </w:rPr>
              <w:t xml:space="preserve">部署</w:t>
            </w:r>
            <w:r>
              <w:rPr>
                <w:rFonts w:hint="eastAsia" w:ascii="宋体" w:hAnsi="宋体" w:eastAsia="宋体" w:cs="宋体"/>
                <w:b w:val="0"/>
                <w:bCs w:val="0"/>
                <w:i w:val="0"/>
                <w:iCs w:val="0"/>
                <w:color w:val="auto"/>
                <w:sz w:val="21"/>
                <w:szCs w:val="21"/>
                <w:highlight w:val="none"/>
                <w:u w:val="none"/>
                <w:lang w:val="en-US" w:eastAsia="zh-CN" w:bidi="ar"/>
              </w:rPr>
              <w:t xml:space="preserve">感</w:t>
            </w:r>
            <w:r>
              <w:rPr>
                <w:rFonts w:hint="eastAsia" w:ascii="宋体" w:hAnsi="宋体" w:eastAsia="宋体" w:cs="宋体"/>
                <w:i w:val="0"/>
                <w:iCs w:val="0"/>
                <w:color w:val="auto"/>
                <w:sz w:val="21"/>
                <w:szCs w:val="21"/>
                <w:highlight w:val="none"/>
                <w:u w:val="none"/>
                <w:lang w:val="en-US" w:eastAsia="zh-CN" w:bidi="ar"/>
              </w:rPr>
              <w:t xml:space="preserve">知环境。</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rPr>
              <w:t xml:space="preserve">需提供</w:t>
            </w:r>
            <w:r>
              <w:rPr>
                <w:rFonts w:hint="eastAsia" w:ascii="宋体" w:hAnsi="宋体" w:eastAsia="宋体" w:cs="宋体"/>
                <w:b/>
                <w:bCs/>
                <w:color w:val="auto"/>
                <w:sz w:val="21"/>
                <w:szCs w:val="21"/>
                <w:highlight w:val="none"/>
                <w:lang w:val="en-US" w:eastAsia="zh-CN"/>
              </w:rPr>
              <w:t xml:space="preserve">承诺函并加盖投标人公章</w:t>
            </w:r>
            <w:r>
              <w:rPr>
                <w:rFonts w:hint="eastAsia" w:ascii="宋体" w:hAnsi="宋体" w:eastAsia="宋体" w:cs="宋体"/>
                <w:b/>
                <w:bCs/>
                <w:i w:val="0"/>
                <w:iCs w:val="0"/>
                <w:color w:val="auto"/>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环境感知的模板创建功能，感知模板目前支持基础安全感知、系统安全感知、应用合规感知、健康状况感知、物理环境感知等五大感知分类的百余项配置项，能够对所有感知风险进行风险的自定义和扣分规则的自定义，并能够创建多个不同模板。</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支持本地身份防盗用风险感知。包括：唤醒计算机时需要密码（使用电池）、唤醒计算机时需要密码（接通电源）、启用屏幕保护程序、密码保护屏幕保护程序。</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账户管理审核风险感知。包括：审核帐户管理、审核计算机帐户管理、审核用户帐户管理、审核其他帐户管理事件、审核帐户锁定、审核登录事件、审核登录、审核帐户登录事件、审核凭据验证、审核其他帐户登录事件、审核注销、审核其他登录/注销事件、审核特殊登录。</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支持注册表合规环境感知。能够提供黑名单、红名单机制。</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支持系统账户风险感知，包括：隐藏账户感知、应禁用账户感知、空口令账户评估、是否拔出警员Key等；</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支持系统状态感知，包含对防病毒软件安装、补丁安装等检测评估；</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9. </w:t>
            </w:r>
            <w:r>
              <w:rPr>
                <w:rFonts w:hint="eastAsia" w:ascii="宋体" w:hAnsi="宋体" w:eastAsia="宋体" w:cs="宋体"/>
                <w:i w:val="0"/>
                <w:iCs w:val="0"/>
                <w:color w:val="auto"/>
                <w:sz w:val="21"/>
                <w:szCs w:val="21"/>
                <w:highlight w:val="none"/>
                <w:u w:val="none"/>
                <w:lang w:val="en-US" w:eastAsia="zh-CN" w:bidi="ar"/>
              </w:rPr>
              <w:t xml:space="preserve">支持对系统环境感知，包含对授权人离席、多人围观等环境检测；</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支持和第三方联动配置，推送安全评估检查结果；</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支持在策略中配置不同的评估时机进行周期性检测。</w:t>
            </w:r>
            <w:r/>
          </w:p>
          <w:p>
            <w:pPr>
              <w:jc w:val="left"/>
              <w:keepLines w:val="0"/>
              <w:keepNext w:val="0"/>
              <w:spacing w:line="360" w:lineRule="auto"/>
              <w:widowControl/>
              <w:rPr>
                <w:rFonts w:hint="eastAsia" w:ascii="宋体" w:hAnsi="宋体" w:cs="宋体" w:eastAsiaTheme="minorEastAsia"/>
                <w:b/>
                <w:bCs/>
                <w:i w:val="0"/>
                <w:iCs w:val="0"/>
                <w:strike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应提供现场和其它系统对接服务</w:t>
            </w:r>
            <w:r/>
          </w:p>
          <w:p>
            <w:pPr>
              <w:jc w:val="left"/>
              <w:keepLines w:val="0"/>
              <w:keepNext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▲13.</w:t>
            </w:r>
            <w:r>
              <w:rPr>
                <w:rFonts w:hint="eastAsia" w:ascii="宋体" w:hAnsi="宋体" w:cs="宋体"/>
                <w:color w:val="auto"/>
                <w:sz w:val="21"/>
                <w:szCs w:val="21"/>
                <w:highlight w:val="none"/>
                <w:lang w:val="en-US" w:eastAsia="zh-CN"/>
              </w:rPr>
              <w:t xml:space="preserve">支持实时感知终端是否运行了黑名单进程。</w:t>
            </w:r>
            <w:r>
              <w:rPr>
                <w:rFonts w:hint="eastAsia" w:ascii="宋体" w:hAnsi="宋体" w:cs="宋体"/>
                <w:b/>
                <w:bCs/>
                <w:color w:val="auto"/>
                <w:sz w:val="21"/>
                <w:szCs w:val="21"/>
                <w:highlight w:val="none"/>
                <w:lang w:val="en-US" w:eastAsia="zh-CN"/>
              </w:rPr>
              <w:t xml:space="preserve">（需提供产品功能截图</w:t>
            </w:r>
            <w:r>
              <w:rPr>
                <w:rFonts w:hint="eastAsia" w:ascii="宋体" w:hAnsi="宋体" w:eastAsia="宋体" w:cs="宋体"/>
                <w:b/>
                <w:bCs/>
                <w:color w:val="auto"/>
                <w:sz w:val="21"/>
                <w:szCs w:val="21"/>
                <w:highlight w:val="none"/>
                <w:lang w:val="en-US" w:eastAsia="zh-CN"/>
              </w:rPr>
              <w:t xml:space="preserve">并加盖投标人公章</w:t>
            </w:r>
            <w:r>
              <w:rPr>
                <w:rFonts w:hint="eastAsia" w:ascii="宋体" w:hAnsi="宋体" w:cs="宋体"/>
                <w:b/>
                <w:bCs/>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br/>
            </w:r>
            <w:r>
              <w:rPr>
                <w:rFonts w:hint="eastAsia" w:ascii="宋体" w:hAnsi="宋体" w:cs="宋体"/>
                <w:i w:val="0"/>
                <w:iCs w:val="0"/>
                <w:color w:val="auto"/>
                <w:sz w:val="21"/>
                <w:szCs w:val="21"/>
                <w:highlight w:val="none"/>
                <w:u w:val="none"/>
                <w:lang w:val="en-US" w:eastAsia="zh-CN" w:bidi="ar"/>
              </w:rPr>
              <w:t xml:space="preserve">▲14.</w:t>
            </w:r>
            <w:r>
              <w:rPr>
                <w:rFonts w:hint="eastAsia" w:ascii="宋体" w:hAnsi="宋体" w:cs="宋体"/>
                <w:color w:val="auto"/>
                <w:sz w:val="21"/>
                <w:szCs w:val="21"/>
                <w:highlight w:val="none"/>
                <w:lang w:val="en-US" w:eastAsia="zh-CN"/>
              </w:rPr>
              <w:t xml:space="preserve">支持对终端的高危端口、热点开启情况、WIFI连接情况、蓝牙开启情况等进行评估。</w:t>
            </w:r>
            <w:r>
              <w:rPr>
                <w:rFonts w:hint="eastAsia" w:ascii="宋体" w:hAnsi="宋体" w:cs="宋体"/>
                <w:b/>
                <w:bCs/>
                <w:color w:val="auto"/>
                <w:sz w:val="21"/>
                <w:szCs w:val="21"/>
                <w:highlight w:val="none"/>
                <w:lang w:val="en-US" w:eastAsia="zh-CN"/>
              </w:rPr>
              <w:t xml:space="preserve">（需提供产品功能截图</w:t>
            </w:r>
            <w:r>
              <w:rPr>
                <w:rFonts w:hint="eastAsia" w:ascii="宋体" w:hAnsi="宋体" w:eastAsia="宋体" w:cs="宋体"/>
                <w:b/>
                <w:bCs/>
                <w:color w:val="auto"/>
                <w:sz w:val="21"/>
                <w:szCs w:val="21"/>
                <w:highlight w:val="none"/>
                <w:lang w:val="en-US" w:eastAsia="zh-CN"/>
              </w:rPr>
              <w:t xml:space="preserve">并加盖投标人公章</w:t>
            </w:r>
            <w:r>
              <w:rPr>
                <w:rFonts w:hint="eastAsia" w:ascii="宋体" w:hAnsi="宋体" w:cs="宋体"/>
                <w:b/>
                <w:bCs/>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零信任服务代理模块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标准机架式设备，高度2U，千兆电口≥4个，千兆光口≥4 个，万兆光口≥2 个（配2个万兆单模光模块），冗余电源，内存≥64G，硬盘≥10T。双国产CPU且单颗处理器≥16核心，核心频率≥2.5GHz，CPU满足国产化要求，搭配国产化操作系统。内置可信密码模块且符合《密码模块安全技术要求》的第二级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功能要求：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认证代理：提供用户访问的认证代理能力，支持认证代理与认证服务间跨网跨域联动，支持与认证服务间加密数据传输与通信，支持接收并转发用户发起的认证请求，向认证服务交互获取令牌，完成认证过程，支持向用户返回用户令牌和应用令牌。</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权限代理：支持权限代理与权限服务间跨网跨域联动，提供权限判定和鉴权的能力，支持联动控制，能够与权限服务联动执行业务安全策略控制服务下发的指令，实时变更权限和权限操作。</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2.3 </w:t>
            </w:r>
            <w:r>
              <w:rPr>
                <w:rFonts w:hint="eastAsia" w:ascii="宋体" w:hAnsi="宋体" w:eastAsia="宋体" w:cs="宋体"/>
                <w:i w:val="0"/>
                <w:iCs w:val="0"/>
                <w:color w:val="auto"/>
                <w:sz w:val="21"/>
                <w:szCs w:val="21"/>
                <w:highlight w:val="none"/>
                <w:u w:val="none"/>
                <w:lang w:val="en-US" w:eastAsia="zh-CN" w:bidi="ar"/>
              </w:rPr>
              <w:t xml:space="preserve">业务策略控制代理：支持与业务安全策略控制服务进行跨网跨域联动。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2.4 </w:t>
            </w:r>
            <w:r>
              <w:rPr>
                <w:rFonts w:hint="eastAsia" w:ascii="宋体" w:hAnsi="宋体" w:eastAsia="宋体" w:cs="宋体"/>
                <w:i w:val="0"/>
                <w:iCs w:val="0"/>
                <w:color w:val="auto"/>
                <w:sz w:val="21"/>
                <w:szCs w:val="21"/>
                <w:highlight w:val="none"/>
                <w:u w:val="none"/>
                <w:lang w:val="en-US" w:eastAsia="zh-CN" w:bidi="ar"/>
              </w:rPr>
              <w:t xml:space="preserve">可信环境感知代理：支持与可信环境感知服务进行跨网跨域联动。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高可用性：支持高可用，支持通过负载均衡和集群扩展的形式，确保代理的持续可用。</w:t>
            </w:r>
            <w:r/>
          </w:p>
          <w:p>
            <w:pPr>
              <w:numPr>
                <w:ilvl w:val="0"/>
                <w:numId w:val="0"/>
              </w:num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性能要求：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HTTPS并发连接数≥50000条/秒</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HTTPS吞吐量≥7Gbps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延迟≤100ms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规范要求：满足公安部《GA/DSJ350-2023公安大数据安全安全访问与数据交换技术设计要求》《GA/DSJ 351-2020公安大数据安全 零信任体系技术设计要求》《GA/DSJ 361.1公安大数据安全 零信任体系服务技术要求 第1部分:服务接口》《GA/DSJ 361.2公安大数据安全零信任体系服务技术要求第2部分:令牌》等规范文档中对零信任服务代理的要求；</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可信接入检控模块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标准机架式设备，高度2U，千兆电口≥4个，千兆光口≥4 个，万兆光口≥2 个（配2个万兆单模光模块），冗余电源，内存≥64G，硬盘≥10T。双国产CPU且单颗处理器≥16核心，核心频率≥2.5GHz,CPU满足国产化要求，搭配国产化操作系统。内置可信密码模块且符合《密码模块安全技术要求》的第二级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功能要求：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加密流量卸载：支持SSL/TLS加密流量卸载，提供解密流量输出接口；</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协议格式检查与控制：支持请求和响应报文头、报文格式检查，支持HTTP、WebSocket及虚拟桌面等的通信协议，根据检查结果阻断或放行，并记录日志告警；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令牌检查与控制：支持用户令牌、应用令牌检查，支持令牌格式、签名、内容、有效期的安全检查，根据检查结果阻断或放行，并记录日志告警；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终端身份检查与控制：支持接入终端的身份核验，支持终端身份签名、格式、时间戳、唯一性的安全检查，根据检查结果阻断或放行，并记录日志告警；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用户访问权限检查：支持用户对应用访问权限检查，根据检查结果阻断或放行，并记录日志；</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日志报送：支持用户访问日志和检控告警上报，支持令牌校验日志的存储、查询；</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流量管控：支持对应用请求信息进行流量控制，支持基于请求内容大小、请求速度、请求连接数和访问时段等参数进行流量控制；</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熔断机制：支持访问超时熔断和并发熔断；</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通道安全：支持国密SSL协议，对业务流量进行加密；</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高可用性：支持通过负载均衡和集群扩展的形式，确保服务的持续可用；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集群管理：支持检控设备统一管理、应用管理、服务管理等功能。</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性能要求：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最大HTTPS并发连接数≥50000</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HTTPS吞吐量≥7Gbps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延迟≤100ms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规范要求：满足公安部《GA/DSJ350-2023公安大数据安全安全访问与数据交换技术设计要求》《GA/DSJ 351-2020公安大数据安全 零信任体系技术设计要求》《GA/DSJ 361.1公安大数据安全 零信任体系服务技术要求 第1部分:服务接口》《GA/DSJ 361.2公安大数据安全零信任体系服务技术要求第2部分:令牌》等规范文档中对可信接入检控的要求；</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业务协同代理模块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标准机架式设备，高度2U，千兆电口≥4个，千兆光口≥4 个，万兆光口≥2 个（配2个万兆光模块），冗余电源，内存≥64G，硬盘≥10T。双国产CPU且单颗处理器≥16核心，核心频率≥2.5GHz,CPU满足国产化要求，搭配国产化操作系统。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功能要求：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加密传输：支持SSL/TLS、国密SSL传输加密，防止数据传输过程被窃听，保障服务安全。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令牌获取：支持对身份核验通过的请求，使用策略中身份认证信息和本地环境感知获取的终端信息，调用零信任服务认证代理，获取双令牌，插入到业务请求头中。</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令牌转发：支持访问应用服务/数据服务时携带零信任策略要求的用户令牌、应用令牌。</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权限管控：支持对应用访问服务的权限进行配置，对未授权的访问请求进行阻断，保障服务安全。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服务路由：由业务协同代理根据服务的注册信息和挂载配置信息，确定报文的节点，请求传输路径并对请求报文和响应报文进行转换、传输。</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系统监控：支持对业务协同代理服务运行情况进行监控。</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日志上报: 支持采集系统流量日志和操作日志，上报审计平台。</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性能要求：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最大HTTPS并发连接数≥50000条/秒</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HTTPS吞吐量≥7Gbps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延迟≤100ms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规范要求：满足公安部《GA/DSJ350-2023公安大数据安全安全访问与数据交换技术设计要求》《GA/DSJ 351-2020公安大数据安全 零信任体系技术设计要求》《GA/DSJ 361.1公安大数据安全 零信任体系服务技术要求 第1部分:服务接口》《GA/DSJ 361.2公安大数据安全零信任体系服务技术要求第2部分:令牌》等规范文档中对业务协同代理的要求；</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851"/>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可信应用检控模块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标准机架式设备，高度2U，千兆电口≥4个，千兆光口≥4 个，万兆光口≥2 个（配2个万兆单模光模块），冗余电源，内存≥64G，硬盘≥10T。双国产CPU且单颗处理器≥16核心，核心频率≥2.5GHz,CPU满足国产化要求，搭配国产化操作系统。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功能要求：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加密流量卸载：支持SSL/TLS加密流量卸载，提供解密流量输出接口；</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协议格式检查与控制：支持请求和响应报文头、报文格式检查，支持HTTP、WebSocket及虚拟桌面等的通信协议，根据检查结果阻断或放行，并记录日志告警；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令牌检查与控制：支持用户令牌、应用令牌检查，支持令牌格式、签名、内容、有效期的安全检查，根据检查结果阻断或放行，并记录日志告警；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业务应用访问权限检查：支持业务应用对应用服务/数据服务访问检查，提供应用API访问敏感信息的监控，根据检查结果阻断或放行，并记录日志告警；</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日志报送：支持业务应用访问日志和检控告警上报，支持令牌校验日志的存储、查询；</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流量管控：支持对应用请求信息进行流量控制，支持基于请求内容大小、请求速度、请求连接数和访问时段等参数进行流量控制；</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熔断机制：支持访问超时熔断和并发熔断；</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通道安全：支持国密SSL协议，对业务流量进行加密；</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高可用性：支持通过负载均衡和集群扩展的形式，确保服务的持续可用；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集群管理：支持检控设备统一管理、应用管理、服务管理等功能。</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性能要求：最大HTTPS并发连接数≥50000  HTTPS吞吐量≥7Gbps  延迟≤100ms</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规范要求：满足公安部《GA/DSJ350-2023公安大数据安全安全访问与数据交换技术设计要求》《GA/DSJ 351-2020公安大数据安全 零信任体系技术设计要求》《GA/DSJ 361.1公安大数据安全 零信任体系服务技术要求 第1部分:服务接口》《GA/DSJ 361.2公安大数据安全零信任体系服务技术要求第2部分:令牌》等规范文档中对可信应用检控的要求；</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可信数据检控模块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ind w:firstLine="0"/>
              <w:jc w:val="left"/>
              <w:keepLines w:val="0"/>
              <w:keepNext w:val="0"/>
              <w:spacing w:after="0" w:line="360" w:lineRule="auto"/>
              <w:widowControl/>
              <w:rPr>
                <w:rFonts w:hint="eastAsia" w:ascii="宋体" w:hAnsi="宋体" w:eastAsia="宋体" w:cs="宋体"/>
                <w:color w:val="auto"/>
                <w:sz w:val="21"/>
                <w:szCs w:val="21"/>
                <w:highlight w:val="none"/>
                <w:lang w:val="en-US" w:eastAsia="zh-CN"/>
                <w14:ligatures w14:val="none"/>
              </w:rPr>
              <w:suppressLineNumbers w:val="0"/>
            </w:pPr>
            <w:r>
              <w:rPr>
                <w:rFonts w:hint="eastAsia" w:ascii="宋体" w:hAnsi="宋体" w:eastAsia="宋体" w:cs="宋体"/>
                <w:color w:val="auto"/>
                <w:sz w:val="21"/>
                <w:szCs w:val="21"/>
                <w:highlight w:val="none"/>
                <w:lang w:val="en-US" w:eastAsia="zh-CN"/>
                <w14:ligatures w14:val="none"/>
              </w:rPr>
              <w:t xml:space="preserve">1. 标准机架式设备，高度2U，千兆电口≥4个，千兆光口≥4个，万兆光口≥2个（配2个万兆单模光模块），冗余电源，内存≥64G，硬盘≥10T。</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国产化：硬件满足国产化要求，内置可信密码模块且符合《密码模块安全技术要求》的第二级要求，搭配国产化操作系统。</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 功能参数：</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2.1 加密流量卸载：支持SSL/TLS加密流量卸载，提供解密流量输出接口；</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2.2 检查与控制：</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1）令牌检查与控制：支持用户令牌、应用令牌检查，支持令牌格式、签名、内容、有效期的安全检查，根据检查结果阻断或放行；</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2）协议格式检查与控制：在数据交换模式，提供数据库协议，文件传输协议等协议检查能力，根据检查结果阻断或放行；</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3）数据交换内容检查与控制：在数据交换模式，提供文件、数据等内容检控能力，支持对结构化数据、非结构化数据进行内容检查，根据检查结果阻断或放行；</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2.3 验证签名：在数据交换模式，支持数据验证签名能力，对数据标签、事件标签中签名的有效值进行检查，根据检查结果阻断或放行；</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2.4 日志记录和报送：支持数据交换日志和检控告警上报；</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2.5 高可用性：支持通过负载均衡和集群扩展的形式，确保服务的持续可用；</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3. 性能参数：</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SSL/TLS并发连接数≥10000 </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SSL/TLS加密吞吐量≥3Gbps</w:t>
            </w:r>
            <w:r>
              <w:rPr>
                <w:rFonts w:hint="eastAsia" w:ascii="宋体" w:hAnsi="宋体" w:eastAsia="宋体" w:cs="宋体"/>
                <w:color w:val="auto"/>
                <w:sz w:val="21"/>
                <w:szCs w:val="21"/>
                <w:highlight w:val="none"/>
                <w:lang w:val="en-US" w:eastAsia="zh-CN"/>
                <w14:ligatures w14:val="none"/>
              </w:rPr>
              <w:br/>
            </w:r>
            <w:r>
              <w:rPr>
                <w:rFonts w:hint="eastAsia" w:ascii="宋体" w:hAnsi="宋体" w:eastAsia="宋体" w:cs="宋体"/>
                <w:color w:val="auto"/>
                <w:sz w:val="21"/>
                <w:szCs w:val="21"/>
                <w:highlight w:val="none"/>
                <w:lang w:val="en-US" w:eastAsia="zh-CN"/>
                <w14:ligatures w14:val="none"/>
              </w:rPr>
              <w:t xml:space="preserve">延迟≤100ms</w:t>
            </w:r>
            <w:r/>
          </w:p>
          <w:p>
            <w:pPr>
              <w:ind w:firstLine="0"/>
              <w:jc w:val="left"/>
              <w:keepLines w:val="0"/>
              <w:keepNext w:val="0"/>
              <w:spacing w:after="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规范要求：满足公安部《GA/DSJ350-2023公安大数据安全安全访问与数据交换技术设计要求》《GA/DSJ 351-2020公安大数据安全 零信任体系技术设计要求》《GA/DSJ 361.1公安大数据安全 零信任体系服务技术要求 第1部分:服务接口》《GA/DSJ 361.2公安大数据安全零信任体系服务技术要求第2部分:令牌》等规范文档中对可信数据检控的要求；</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接口转发模块</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硬件要求：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标准机架式机箱，采用国产化CPU、操作系统，冗余电源；</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网络接口：≥4个10M/100M/1000M自适应电口、≥2个SFP+插槽；</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≥1个Console口和≥2个USB口</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性能要求：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数据库数据处理性能：≥2,000条/秒；</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小文件数据处理性能：≥2,000个/秒；</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稳定性运行时间(MTBF)：&gt;50000小时。</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功能要求：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支持文件采集，支持本地FTP；</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支持对收到的数据通过认证服务进行用户令牌、应用令牌的核验；</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支持验证签名：对收到的数据进行签名验证；</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支持对文件进行病毒查杀功能；</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支持文件后缀名黑白名单过滤；支持文件内容格式黑白名单过滤（exe; pdf; rar; zip；mso; elf; jpg; bmp;wav;avi;mp3;rm;mpg;tgz）；支持关键字过滤；</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支持文件推送：支持FTP文件推送方式；</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支持数据库数据入库：Mysql数据库，MaxCompute（odps）等；</w:t>
            </w:r>
            <w:r/>
          </w:p>
          <w:p>
            <w:pPr>
              <w:jc w:val="left"/>
              <w:keepLines w:val="0"/>
              <w:keepNext w:val="0"/>
              <w:spacing w:line="360" w:lineRule="auto"/>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系统支持对采集的数据进行签名加签，对接收的数据进行签名验证；</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系统可与零信任体系等身份鉴权平台实现对接，支持对接收的数据通过认证服务进行用户令牌、应用令牌的核验；</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bidi="ar"/>
              </w:rPr>
              <w:t xml:space="preserve">系统支持文件转数据库数据并入库及数据库数据转文件。</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其他要求：</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产品原厂商为通过公安部组织测试的接入平台厂商。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万兆三层交换机</w:t>
            </w:r>
            <w:r/>
          </w:p>
        </w:tc>
        <w:tc>
          <w:tcPr>
            <w:shd w:val="clear" w:color="auto" w:fill="auto"/>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pStyle w:val="1254"/>
              <w:spacing w:line="360" w:lineRule="auto"/>
              <w:rPr>
                <w:rFonts w:hint="eastAsia"/>
                <w:strike w:val="0"/>
                <w:color w:val="auto"/>
                <w:highlight w:val="none"/>
              </w:rPr>
            </w:pPr>
            <w:r>
              <w:rPr>
                <w:rFonts w:hint="eastAsia"/>
                <w:strike w:val="0"/>
                <w:color w:val="auto"/>
                <w:highlight w:val="none"/>
              </w:rPr>
              <w:t xml:space="preserve">1.交换容量≥2.56Tbps（以官网最小值为准），包转发率≥1140Mpps，支持16个10GE SFP+，8个25GE SFP28，扩展槽位≥2；</w:t>
            </w:r>
            <w:r/>
          </w:p>
          <w:p>
            <w:pPr>
              <w:pStyle w:val="1254"/>
              <w:spacing w:line="360" w:lineRule="auto"/>
              <w:rPr>
                <w:rFonts w:hint="eastAsia"/>
                <w:strike w:val="0"/>
                <w:color w:val="auto"/>
                <w:highlight w:val="none"/>
              </w:rPr>
            </w:pPr>
            <w:r>
              <w:rPr>
                <w:rFonts w:hint="eastAsia"/>
                <w:strike w:val="0"/>
                <w:color w:val="auto"/>
                <w:highlight w:val="none"/>
              </w:rPr>
              <w:t xml:space="preserve">2.支持可插拔电源槽位，电源槽位≥2,支持可插拔风扇框，风扇框个数≥2，支持后风出道；</w:t>
            </w:r>
            <w:r/>
          </w:p>
          <w:p>
            <w:pPr>
              <w:pStyle w:val="1254"/>
              <w:spacing w:line="360" w:lineRule="auto"/>
              <w:rPr>
                <w:rFonts w:hint="eastAsia"/>
                <w:strike w:val="0"/>
                <w:color w:val="auto"/>
                <w:highlight w:val="none"/>
              </w:rPr>
            </w:pPr>
            <w:r>
              <w:rPr>
                <w:rFonts w:hint="eastAsia"/>
                <w:strike w:val="0"/>
                <w:color w:val="auto"/>
                <w:highlight w:val="none"/>
              </w:rPr>
              <w:t xml:space="preserve">3.支持RIP、OSPF、ISIS、BGP等IPv4动态路由协议 ,支持RIPng、OSPFv3、ISISv6、BGP4+等IPv6动态路由协议;</w:t>
            </w:r>
            <w:r/>
          </w:p>
          <w:p>
            <w:pPr>
              <w:pStyle w:val="1254"/>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i w:val="0"/>
                <w:iCs w:val="0"/>
                <w:strike w:val="0"/>
                <w:color w:val="auto"/>
                <w:sz w:val="21"/>
                <w:szCs w:val="21"/>
                <w:highlight w:val="none"/>
                <w:u w:val="none"/>
                <w:lang w:eastAsia="zh-CN"/>
              </w:rPr>
              <w:t xml:space="preserve">▲</w:t>
            </w:r>
            <w:r>
              <w:rPr>
                <w:rFonts w:hint="eastAsia"/>
                <w:strike w:val="0"/>
                <w:color w:val="auto"/>
                <w:highlight w:val="none"/>
              </w:rPr>
              <w:t xml:space="preserve">4.CPU、转发芯片均采用国产型号，</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1254"/>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i w:val="0"/>
                <w:iCs w:val="0"/>
                <w:strike w:val="0"/>
                <w:color w:val="auto"/>
                <w:sz w:val="21"/>
                <w:szCs w:val="21"/>
                <w:highlight w:val="none"/>
                <w:u w:val="none"/>
                <w:lang w:eastAsia="zh-CN"/>
              </w:rPr>
              <w:t xml:space="preserve">▲</w:t>
            </w:r>
            <w:r>
              <w:rPr>
                <w:rFonts w:hint="eastAsia"/>
                <w:strike w:val="0"/>
                <w:color w:val="auto"/>
                <w:highlight w:val="none"/>
              </w:rPr>
              <w:t xml:space="preserve">5.支持VxLAN功能，支持BGP EVPN，支持分布式 Anycast 网关，</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1254"/>
              <w:spacing w:line="360" w:lineRule="auto"/>
              <w:rPr>
                <w:rFonts w:hint="eastAsia"/>
                <w:strike w:val="0"/>
                <w:color w:val="auto"/>
                <w:highlight w:val="none"/>
              </w:rPr>
            </w:pPr>
            <w:r>
              <w:rPr>
                <w:rFonts w:hint="eastAsia"/>
                <w:strike w:val="0"/>
                <w:color w:val="auto"/>
                <w:highlight w:val="none"/>
              </w:rPr>
              <w:t xml:space="preserve">6.支持M-LAG ，支持堆叠、堆叠快速升级；</w:t>
            </w:r>
            <w:r/>
          </w:p>
          <w:p>
            <w:pPr>
              <w:pStyle w:val="1254"/>
              <w:spacing w:line="360" w:lineRule="auto"/>
              <w:rPr>
                <w:rFonts w:hint="eastAsia"/>
                <w:strike w:val="0"/>
                <w:color w:val="auto"/>
                <w:highlight w:val="none"/>
              </w:rPr>
            </w:pPr>
            <w:r>
              <w:rPr>
                <w:rFonts w:hint="eastAsia"/>
                <w:strike w:val="0"/>
                <w:color w:val="auto"/>
                <w:highlight w:val="none"/>
              </w:rPr>
              <w:t xml:space="preserve">7.支持物理复位按钮，实现设备复位和恢复出厂配置；</w:t>
            </w:r>
            <w:r/>
          </w:p>
          <w:p>
            <w:pPr>
              <w:pStyle w:val="1254"/>
              <w:spacing w:line="360" w:lineRule="auto"/>
              <w:rPr>
                <w:rFonts w:hint="eastAsia"/>
                <w:strike w:val="0"/>
                <w:color w:val="auto"/>
                <w:highlight w:val="none"/>
              </w:rPr>
            </w:pPr>
            <w:r>
              <w:rPr>
                <w:rFonts w:hint="eastAsia" w:ascii="宋体" w:hAnsi="宋体" w:cs="宋体"/>
                <w:i w:val="0"/>
                <w:iCs w:val="0"/>
                <w:strike w:val="0"/>
                <w:color w:val="auto"/>
                <w:sz w:val="21"/>
                <w:szCs w:val="21"/>
                <w:highlight w:val="none"/>
                <w:u w:val="none"/>
                <w:lang w:eastAsia="zh-CN"/>
              </w:rPr>
              <w:t xml:space="preserve">▲</w:t>
            </w:r>
            <w:r>
              <w:rPr>
                <w:rFonts w:hint="eastAsia"/>
                <w:strike w:val="0"/>
                <w:color w:val="auto"/>
                <w:highlight w:val="none"/>
              </w:rPr>
              <w:t xml:space="preserve">8.为减少运维人员误操作带来的网络故障影响，设备需支持配置回滚能力，</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具有检验检测资质的第三方检测机构出具的检测报告，中标后中标人须提供相关检测报告供招标人审核</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1254"/>
              <w:spacing w:line="360" w:lineRule="auto"/>
              <w:rPr>
                <w:rFonts w:hint="eastAsia"/>
                <w:strike/>
                <w:color w:val="auto"/>
                <w:highlight w:val="none"/>
              </w:rPr>
            </w:pPr>
            <w:r>
              <w:rPr>
                <w:rFonts w:hint="eastAsia"/>
                <w:strike w:val="0"/>
                <w:color w:val="auto"/>
                <w:highlight w:val="none"/>
              </w:rPr>
              <w:t xml:space="preserve">9.实配：冗余交流电源，开启IPv6及VXLAN功能；</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strike/>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bl>
    <w:p>
      <w:pPr>
        <w:ind w:firstLine="539"/>
        <w:keepLines w:val="0"/>
        <w:keepNext w:val="0"/>
        <w:pageBreakBefore w:val="0"/>
        <w:spacing w:line="360" w:lineRule="auto"/>
        <w:widowControl w:val="off"/>
        <w:tabs>
          <w:tab w:val="left" w:pos="0" w:leader="none"/>
        </w:tabs>
        <w:rPr>
          <w:rFonts w:hint="default" w:ascii="宋体" w:hAnsi="宋体" w:cs="宋体" w:eastAsiaTheme="minorEastAsia"/>
          <w:b/>
          <w:bCs/>
          <w:i/>
          <w:iCs/>
          <w:color w:val="auto"/>
          <w:szCs w:val="21"/>
          <w:highlight w:val="none"/>
          <w:u w:val="single"/>
          <w:lang w:val="en-US" w:eastAsia="zh-CN"/>
        </w:rPr>
      </w:pPr>
      <w:r>
        <w:rPr>
          <w:rFonts w:hint="eastAsia" w:ascii="宋体" w:hAnsi="宋体" w:cs="宋体"/>
          <w:b/>
          <w:bCs/>
          <w:i/>
          <w:iCs/>
          <w:color w:val="auto"/>
          <w:szCs w:val="21"/>
          <w:highlight w:val="none"/>
          <w:u w:val="single"/>
        </w:rPr>
        <w:t xml:space="preserve">注：（1）上述清单中</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以外参数均为实质性条款，不接受负偏离，投标时提供</w:t>
      </w:r>
      <w:r>
        <w:rPr>
          <w:rFonts w:hint="eastAsia" w:ascii="宋体" w:hAnsi="宋体" w:cs="宋体"/>
          <w:b/>
          <w:bCs/>
          <w:i/>
          <w:iCs/>
          <w:color w:val="auto"/>
          <w:szCs w:val="21"/>
          <w:highlight w:val="none"/>
          <w:u w:val="single"/>
        </w:rPr>
        <w:t xml:space="preserve">《技术要求响应及偏离表》</w:t>
      </w:r>
      <w:r/>
    </w:p>
    <w:p>
      <w:pPr>
        <w:ind w:firstLine="539"/>
        <w:keepLines w:val="0"/>
        <w:keepNext w:val="0"/>
        <w:pageBreakBefore w:val="0"/>
        <w:spacing w:line="360" w:lineRule="auto"/>
        <w:widowControl w:val="off"/>
        <w:tabs>
          <w:tab w:val="left" w:pos="0" w:leader="none"/>
        </w:tabs>
        <w:rPr>
          <w:color w:val="auto"/>
          <w:highlight w:val="none"/>
        </w:rPr>
      </w:pPr>
      <w:r>
        <w:rPr>
          <w:rFonts w:hint="eastAsia" w:ascii="宋体" w:hAnsi="宋体" w:cs="宋体"/>
          <w:b/>
          <w:bCs/>
          <w:i/>
          <w:iCs/>
          <w:color w:val="auto"/>
          <w:szCs w:val="21"/>
          <w:highlight w:val="none"/>
          <w:u w:val="single"/>
        </w:rPr>
        <w:t xml:space="preserve">（</w:t>
      </w:r>
      <w:r>
        <w:rPr>
          <w:rFonts w:hint="eastAsia" w:ascii="宋体" w:hAnsi="宋体" w:cs="宋体"/>
          <w:b/>
          <w:bCs/>
          <w:i/>
          <w:iCs/>
          <w:color w:val="auto"/>
          <w:szCs w:val="21"/>
          <w:highlight w:val="none"/>
          <w:u w:val="single"/>
          <w:lang w:val="en-US" w:eastAsia="zh-CN"/>
        </w:rPr>
        <w:t xml:space="preserve">2</w:t>
      </w:r>
      <w:r>
        <w:rPr>
          <w:rFonts w:hint="eastAsia" w:ascii="宋体" w:hAnsi="宋体" w:cs="宋体"/>
          <w:b/>
          <w:bCs/>
          <w:i/>
          <w:iCs/>
          <w:color w:val="auto"/>
          <w:szCs w:val="21"/>
          <w:highlight w:val="none"/>
          <w:u w:val="single"/>
        </w:rPr>
        <w:t xml:space="preserve">）上述清单中的检测报告为本项目对投标产品的相关要求。为提高采购效率，投标人投标时可以采用承诺的方式进行响应（承诺的方式即:投标人在《技术要求响应及偏离表》中如实填写其投标产品是否符合该要求）。</w:t>
      </w:r>
      <w:r/>
    </w:p>
    <w:p>
      <w:pPr>
        <w:ind w:firstLine="539"/>
        <w:keepLines w:val="0"/>
        <w:keepNext w:val="0"/>
        <w:pageBreakBefore w:val="0"/>
        <w:spacing w:line="360" w:lineRule="auto"/>
        <w:widowControl w:val="off"/>
        <w:tabs>
          <w:tab w:val="left" w:pos="0" w:leader="none"/>
        </w:tabs>
        <w:rPr>
          <w:color w:val="auto"/>
          <w:highlight w:val="none"/>
        </w:rPr>
      </w:pPr>
      <w:r>
        <w:rPr>
          <w:rFonts w:hint="eastAsia" w:ascii="宋体" w:hAnsi="宋体" w:cs="宋体"/>
          <w:b/>
          <w:bCs/>
          <w:i/>
          <w:iCs/>
          <w:color w:val="auto"/>
          <w:szCs w:val="21"/>
          <w:highlight w:val="none"/>
          <w:u w:val="single"/>
        </w:rPr>
        <w:t xml:space="preserve">投标人在投标文件承诺（填写）符合的，中标后，必须</w:t>
      </w:r>
      <w:r>
        <w:rPr>
          <w:rFonts w:hint="eastAsia" w:ascii="宋体" w:hAnsi="宋体" w:cs="宋体"/>
          <w:b/>
          <w:bCs/>
          <w:i/>
          <w:iCs/>
          <w:strike w:val="0"/>
          <w:color w:val="auto"/>
          <w:szCs w:val="21"/>
          <w:highlight w:val="none"/>
          <w:u w:val="single"/>
        </w:rPr>
        <w:t xml:space="preserve">在</w:t>
      </w:r>
      <w:r>
        <w:rPr>
          <w:rFonts w:hint="eastAsia" w:ascii="宋体" w:hAnsi="宋体" w:cs="宋体"/>
          <w:b/>
          <w:bCs/>
          <w:i/>
          <w:iCs/>
          <w:strike w:val="0"/>
          <w:color w:val="auto"/>
          <w:szCs w:val="21"/>
          <w:highlight w:val="none"/>
          <w:u w:val="single"/>
          <w:lang w:val="en-US" w:eastAsia="zh-CN"/>
        </w:rPr>
        <w:t xml:space="preserve">验收时</w:t>
      </w:r>
      <w:r>
        <w:rPr>
          <w:rFonts w:hint="eastAsia" w:ascii="宋体" w:hAnsi="宋体" w:cs="宋体"/>
          <w:b/>
          <w:bCs/>
          <w:i/>
          <w:iCs/>
          <w:color w:val="auto"/>
          <w:szCs w:val="21"/>
          <w:highlight w:val="none"/>
          <w:u w:val="single"/>
        </w:rPr>
        <w:t xml:space="preserve">向招标人提供检测报告</w:t>
      </w:r>
      <w:r>
        <w:rPr>
          <w:rFonts w:hint="eastAsia" w:ascii="宋体" w:hAnsi="宋体" w:cs="宋体"/>
          <w:b/>
          <w:bCs/>
          <w:i/>
          <w:iCs/>
          <w:color w:val="auto"/>
          <w:szCs w:val="21"/>
          <w:highlight w:val="none"/>
          <w:u w:val="single"/>
          <w:lang w:val="en-US" w:eastAsia="zh-CN"/>
        </w:rPr>
        <w:t xml:space="preserve">等</w:t>
      </w:r>
      <w:r>
        <w:rPr>
          <w:rFonts w:hint="eastAsia" w:ascii="宋体" w:hAnsi="宋体" w:cs="宋体"/>
          <w:b/>
          <w:bCs/>
          <w:i/>
          <w:iCs/>
          <w:color w:val="auto"/>
          <w:szCs w:val="21"/>
          <w:highlight w:val="none"/>
          <w:u w:val="single"/>
        </w:rPr>
        <w:t xml:space="preserve">。如中标人未能提供</w:t>
      </w:r>
      <w:r>
        <w:rPr>
          <w:rFonts w:hint="eastAsia" w:ascii="宋体" w:hAnsi="宋体" w:cs="宋体"/>
          <w:b/>
          <w:bCs/>
          <w:i/>
          <w:iCs/>
          <w:strike w:val="0"/>
          <w:color w:val="auto"/>
          <w:szCs w:val="21"/>
          <w:highlight w:val="none"/>
          <w:u w:val="single"/>
          <w:lang w:val="en-US" w:eastAsia="zh-CN"/>
        </w:rPr>
        <w:t xml:space="preserve">上述证书</w:t>
      </w:r>
      <w:r>
        <w:rPr>
          <w:rFonts w:hint="eastAsia" w:ascii="宋体" w:hAnsi="宋体" w:cs="宋体"/>
          <w:b/>
          <w:bCs/>
          <w:i/>
          <w:iCs/>
          <w:color w:val="auto"/>
          <w:szCs w:val="21"/>
          <w:highlight w:val="none"/>
          <w:u w:val="single"/>
          <w:lang w:val="en-US" w:eastAsia="zh-CN"/>
        </w:rPr>
        <w:t xml:space="preserve">、</w:t>
      </w:r>
      <w:r>
        <w:rPr>
          <w:rFonts w:hint="eastAsia" w:ascii="宋体" w:hAnsi="宋体" w:cs="宋体"/>
          <w:b/>
          <w:bCs/>
          <w:i/>
          <w:iCs/>
          <w:color w:val="auto"/>
          <w:szCs w:val="21"/>
          <w:highlight w:val="none"/>
          <w:u w:val="single"/>
        </w:rPr>
        <w:t xml:space="preserve">检测报告</w:t>
      </w:r>
      <w:r>
        <w:rPr>
          <w:rFonts w:hint="eastAsia" w:ascii="宋体" w:hAnsi="宋体" w:cs="宋体"/>
          <w:b/>
          <w:bCs/>
          <w:i/>
          <w:iCs/>
          <w:color w:val="auto"/>
          <w:szCs w:val="21"/>
          <w:highlight w:val="none"/>
          <w:u w:val="single"/>
          <w:lang w:val="en-US" w:eastAsia="zh-CN"/>
        </w:rPr>
        <w:t xml:space="preserve">等</w:t>
      </w:r>
      <w:r>
        <w:rPr>
          <w:rFonts w:hint="eastAsia" w:ascii="宋体" w:hAnsi="宋体" w:cs="宋体"/>
          <w:b/>
          <w:bCs/>
          <w:i/>
          <w:iCs/>
          <w:color w:val="auto"/>
          <w:szCs w:val="21"/>
          <w:highlight w:val="none"/>
          <w:u w:val="single"/>
        </w:rPr>
        <w:t xml:space="preserve">，招标人(含监管部门)有权</w:t>
      </w:r>
      <w:r>
        <w:rPr>
          <w:rFonts w:hint="eastAsia" w:ascii="宋体" w:hAnsi="宋体" w:cs="宋体"/>
          <w:b/>
          <w:bCs/>
          <w:i/>
          <w:iCs/>
          <w:strike w:val="0"/>
          <w:color w:val="auto"/>
          <w:szCs w:val="21"/>
          <w:highlight w:val="none"/>
          <w:u w:val="single"/>
          <w:lang w:val="en-US" w:eastAsia="zh-CN"/>
        </w:rPr>
        <w:t xml:space="preserve">取消中标人中标资格,</w:t>
      </w:r>
      <w:r>
        <w:rPr>
          <w:rFonts w:hint="eastAsia" w:ascii="宋体" w:hAnsi="宋体" w:cs="宋体"/>
          <w:b/>
          <w:bCs/>
          <w:i/>
          <w:iCs/>
          <w:color w:val="auto"/>
          <w:szCs w:val="21"/>
          <w:highlight w:val="none"/>
          <w:u w:val="single"/>
        </w:rPr>
        <w:t xml:space="preserve">投标人承担相关法律责任（提供虚假材料）。</w:t>
      </w:r>
      <w:r/>
    </w:p>
    <w:p>
      <w:pPr>
        <w:ind w:firstLine="420"/>
        <w:keepLines w:val="0"/>
        <w:keepNext w:val="0"/>
        <w:pageBreakBefore w:val="0"/>
        <w:spacing w:line="360" w:lineRule="auto"/>
        <w:widowControl w:val="off"/>
        <w:tabs>
          <w:tab w:val="left" w:pos="210" w:leader="none"/>
        </w:tabs>
        <w:rPr>
          <w:rFonts w:hint="eastAsia"/>
          <w:color w:val="auto"/>
          <w:highlight w:val="none"/>
        </w:rPr>
      </w:pPr>
      <w:r>
        <w:rPr>
          <w:rFonts w:hint="eastAsia"/>
          <w:color w:val="auto"/>
          <w:highlight w:val="non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20"/>
        <w:keepLines w:val="0"/>
        <w:keepNext w:val="0"/>
        <w:pageBreakBefore w:val="0"/>
        <w:spacing w:line="360" w:lineRule="auto"/>
        <w:widowControl w:val="off"/>
        <w:tabs>
          <w:tab w:val="left" w:pos="210" w:leader="none"/>
        </w:tabs>
        <w:rPr>
          <w:rFonts w:hint="eastAsia"/>
          <w:color w:val="auto"/>
          <w:highlight w:val="none"/>
          <w:lang w:eastAsia="zh-CN"/>
        </w:rPr>
      </w:pPr>
      <w:r>
        <w:rPr>
          <w:rFonts w:hint="eastAsia" w:ascii="宋体" w:hAnsi="宋体" w:cs="宋体"/>
          <w:b w:val="0"/>
          <w:bCs w:val="0"/>
          <w:i w:val="0"/>
          <w:iCs w:val="0"/>
          <w:color w:val="auto"/>
          <w:szCs w:val="21"/>
          <w:highlight w:val="none"/>
          <w:u w:val="none"/>
        </w:rPr>
        <w:t xml:space="preserve">（</w:t>
      </w:r>
      <w:r>
        <w:rPr>
          <w:rFonts w:hint="eastAsia" w:ascii="宋体" w:hAnsi="宋体" w:cs="宋体"/>
          <w:b w:val="0"/>
          <w:bCs w:val="0"/>
          <w:i w:val="0"/>
          <w:iCs w:val="0"/>
          <w:color w:val="auto"/>
          <w:szCs w:val="21"/>
          <w:highlight w:val="none"/>
          <w:u w:val="none"/>
          <w:lang w:val="en-US" w:eastAsia="zh-CN"/>
        </w:rPr>
        <w:t xml:space="preserve">3</w:t>
      </w:r>
      <w:r>
        <w:rPr>
          <w:rFonts w:hint="eastAsia" w:ascii="宋体" w:hAnsi="宋体" w:cs="宋体"/>
          <w:b w:val="0"/>
          <w:bCs w:val="0"/>
          <w:i w:val="0"/>
          <w:iCs w:val="0"/>
          <w:color w:val="auto"/>
          <w:szCs w:val="21"/>
          <w:highlight w:val="none"/>
          <w:u w:val="none"/>
        </w:rPr>
        <w:t xml:space="preserve">）</w:t>
      </w:r>
      <w:r>
        <w:rPr>
          <w:rFonts w:hint="eastAsia"/>
          <w:color w:val="auto"/>
          <w:highlight w:val="none"/>
        </w:rPr>
        <w:t xml:space="preserve">投标所投产品必须明确所投产品的品牌、型号，否则其响应文件将被评标委员会拒绝</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lang w:val="en-US" w:eastAsia="zh-CN"/>
        </w:rPr>
        <w:t xml:space="preserve">类似业绩</w:t>
      </w:r>
      <w:r/>
    </w:p>
    <w:p>
      <w:pPr>
        <w:pStyle w:val="1272"/>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投标人提供自202</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年1月1日以来</w:t>
      </w:r>
      <w:r>
        <w:rPr>
          <w:rFonts w:hint="eastAsia" w:ascii="宋体" w:hAnsi="宋体" w:eastAsia="宋体" w:cs="宋体"/>
          <w:color w:val="auto"/>
          <w:sz w:val="21"/>
          <w:szCs w:val="21"/>
          <w:highlight w:val="none"/>
          <w:lang w:val="en-US" w:eastAsia="zh-CN"/>
        </w:rPr>
        <w:t xml:space="preserve">（以合同签订时间为准）</w:t>
      </w:r>
      <w:r>
        <w:rPr>
          <w:rFonts w:hint="default" w:ascii="宋体" w:hAnsi="宋体" w:eastAsia="宋体" w:cs="宋体"/>
          <w:color w:val="auto"/>
          <w:sz w:val="21"/>
          <w:szCs w:val="21"/>
          <w:highlight w:val="none"/>
          <w:lang w:val="en-US" w:eastAsia="zh-CN"/>
        </w:rPr>
        <w:t xml:space="preserve">承担过的类似</w:t>
      </w:r>
      <w:r>
        <w:rPr>
          <w:rFonts w:hint="eastAsia" w:ascii="宋体" w:hAnsi="宋体" w:eastAsia="宋体" w:cs="宋体"/>
          <w:color w:val="auto"/>
          <w:sz w:val="21"/>
          <w:szCs w:val="21"/>
          <w:highlight w:val="none"/>
          <w:lang w:val="en-US" w:eastAsia="zh-CN"/>
        </w:rPr>
        <w:t xml:space="preserve">本</w:t>
      </w:r>
      <w:r>
        <w:rPr>
          <w:rFonts w:hint="default" w:ascii="宋体" w:hAnsi="宋体" w:eastAsia="宋体" w:cs="宋体"/>
          <w:color w:val="auto"/>
          <w:sz w:val="21"/>
          <w:szCs w:val="21"/>
          <w:highlight w:val="none"/>
          <w:lang w:val="en-US" w:eastAsia="zh-CN"/>
        </w:rPr>
        <w:t xml:space="preserve">项目业绩（</w:t>
      </w:r>
      <w:r>
        <w:rPr>
          <w:rFonts w:hint="eastAsia" w:ascii="宋体" w:hAnsi="宋体" w:eastAsia="宋体" w:cs="宋体"/>
          <w:color w:val="auto"/>
          <w:sz w:val="21"/>
          <w:szCs w:val="21"/>
          <w:highlight w:val="none"/>
          <w:lang w:val="en-US" w:eastAsia="zh-CN"/>
        </w:rPr>
        <w:t xml:space="preserve">网络安全设备供货类</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的优先；</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产品厂家</w:t>
      </w:r>
      <w:r>
        <w:rPr>
          <w:rFonts w:hint="default" w:ascii="宋体" w:hAnsi="宋体" w:eastAsia="宋体" w:cs="宋体"/>
          <w:color w:val="auto"/>
          <w:sz w:val="21"/>
          <w:szCs w:val="21"/>
          <w:highlight w:val="none"/>
          <w:lang w:val="en-US" w:eastAsia="zh-CN"/>
        </w:rPr>
        <w:t xml:space="preserve">自202</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年1月1日以来</w:t>
      </w:r>
      <w:r>
        <w:rPr>
          <w:rFonts w:hint="eastAsia" w:ascii="宋体" w:hAnsi="宋体" w:eastAsia="宋体" w:cs="宋体"/>
          <w:color w:val="auto"/>
          <w:sz w:val="21"/>
          <w:szCs w:val="21"/>
          <w:highlight w:val="none"/>
          <w:lang w:val="en-US" w:eastAsia="zh-CN"/>
        </w:rPr>
        <w:t xml:space="preserve">（以合同签订时间为准）</w:t>
      </w:r>
      <w:r>
        <w:rPr>
          <w:rFonts w:hint="default" w:ascii="宋体" w:hAnsi="宋体" w:eastAsia="宋体" w:cs="宋体"/>
          <w:color w:val="auto"/>
          <w:sz w:val="21"/>
          <w:szCs w:val="21"/>
          <w:highlight w:val="none"/>
          <w:lang w:val="en-US" w:eastAsia="zh-CN"/>
        </w:rPr>
        <w:t xml:space="preserve">承担过</w:t>
      </w:r>
      <w:r>
        <w:rPr>
          <w:rFonts w:hint="eastAsia" w:ascii="宋体" w:hAnsi="宋体" w:eastAsia="宋体" w:cs="宋体"/>
          <w:color w:val="auto"/>
          <w:sz w:val="21"/>
          <w:szCs w:val="21"/>
          <w:highlight w:val="none"/>
          <w:lang w:val="en-US" w:eastAsia="zh-CN"/>
        </w:rPr>
        <w:t xml:space="preserve">类似本项目业绩</w:t>
      </w:r>
      <w:r>
        <w:rPr>
          <w:rStyle w:val="1273"/>
          <w:rFonts w:hint="eastAsia" w:ascii="宋体" w:hAnsi="宋体" w:eastAsia="宋体" w:cs="宋体"/>
          <w:color w:val="auto"/>
          <w:sz w:val="21"/>
          <w:szCs w:val="21"/>
          <w:highlight w:val="none"/>
          <w:lang w:val="en-US" w:eastAsia="zh-CN" w:bidi="ar"/>
        </w:rPr>
        <w:t xml:space="preserve">（同一合同内容需至少</w:t>
      </w:r>
      <w:r>
        <w:rPr>
          <w:rFonts w:hint="eastAsia" w:ascii="宋体" w:hAnsi="宋体" w:eastAsia="宋体" w:cs="宋体"/>
          <w:color w:val="auto"/>
          <w:sz w:val="21"/>
          <w:szCs w:val="21"/>
          <w:highlight w:val="none"/>
          <w:lang w:val="en-US" w:eastAsia="zh-CN"/>
        </w:rPr>
        <w:t xml:space="preserve">包含：认证中心模块、权限管理中心模块等）项目业绩的优先。</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六、企业资质</w:t>
      </w:r>
      <w:r/>
    </w:p>
    <w:p>
      <w:pPr>
        <w:pStyle w:val="1272"/>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投标人具有质量管理体系认证证书、环境管理体系认证证书、职业健康安全管理体系认证证书的优先。</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七、人员资质</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1.项目负责人具有人社部门颁发的高级工程师职称证书(</w:t>
      </w:r>
      <w:r>
        <w:rPr>
          <w:rFonts w:hint="eastAsia" w:ascii="宋体" w:hAnsi="宋体" w:eastAsia="宋体" w:cs="宋体"/>
          <w:i w:val="0"/>
          <w:iCs w:val="0"/>
          <w:color w:val="auto"/>
          <w:sz w:val="21"/>
          <w:szCs w:val="21"/>
          <w:highlight w:val="none"/>
          <w:u w:val="none"/>
          <w:lang w:val="en-US" w:eastAsia="zh-CN" w:bidi="ar"/>
        </w:rPr>
        <w:t xml:space="preserve">信息与通信</w:t>
      </w:r>
      <w:r>
        <w:rPr>
          <w:rFonts w:hint="eastAsia" w:ascii="宋体" w:hAnsi="宋体" w:eastAsia="宋体" w:cs="宋体"/>
          <w:color w:val="auto"/>
          <w:sz w:val="21"/>
          <w:szCs w:val="21"/>
          <w:highlight w:val="none"/>
          <w:lang w:val="en-US" w:eastAsia="zh-CN"/>
        </w:rPr>
        <w:t xml:space="preserve">)、人社部门颁发的信息系统项目管理师证书、人社部门颁发的系统架构设计师证书、人社部门颁发的系统分析师的优先；</w:t>
      </w:r>
      <w:r/>
    </w:p>
    <w:p>
      <w:pPr>
        <w:pStyle w:val="1272"/>
        <w:ind w:firstLine="420"/>
        <w:jc w:val="both"/>
        <w:keepLines w:val="0"/>
        <w:keepNext w:val="0"/>
        <w:pageBreakBefore w:val="0"/>
        <w:spacing w:beforeAutospacing="0" w:afterAutospacing="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2.技术负责人</w:t>
      </w:r>
      <w:r>
        <w:rPr>
          <w:rFonts w:hint="eastAsia" w:ascii="宋体" w:hAnsi="宋体" w:eastAsia="宋体" w:cs="宋体"/>
          <w:i w:val="0"/>
          <w:iCs w:val="0"/>
          <w:strike w:val="0"/>
          <w:color w:val="auto"/>
          <w:sz w:val="21"/>
          <w:szCs w:val="21"/>
          <w:highlight w:val="none"/>
          <w:u w:val="none"/>
          <w:lang w:val="en-US" w:eastAsia="zh-CN" w:bidi="ar"/>
        </w:rPr>
        <w:t xml:space="preserve">具有</w:t>
      </w:r>
      <w:r>
        <w:rPr>
          <w:rFonts w:hint="eastAsia" w:ascii="宋体" w:hAnsi="宋体" w:eastAsia="宋体" w:cs="宋体"/>
          <w:i w:val="0"/>
          <w:iCs w:val="0"/>
          <w:strike w:val="0"/>
          <w:color w:val="auto"/>
          <w:sz w:val="21"/>
          <w:szCs w:val="21"/>
          <w:highlight w:val="none"/>
          <w:u w:val="none"/>
          <w:lang w:val="en-US" w:eastAsia="zh-CN" w:bidi="ar"/>
        </w:rPr>
        <w:t xml:space="preserve">人社部门颁发的高级工程师职称证书</w:t>
      </w:r>
      <w:r>
        <w:rPr>
          <w:rFonts w:hint="eastAsia" w:ascii="宋体" w:hAnsi="宋体" w:eastAsia="宋体" w:cs="宋体"/>
          <w:i w:val="0"/>
          <w:iCs w:val="0"/>
          <w:color w:val="auto"/>
          <w:sz w:val="21"/>
          <w:szCs w:val="21"/>
          <w:highlight w:val="none"/>
          <w:u w:val="none"/>
          <w:lang w:val="en-US" w:eastAsia="zh-CN" w:bidi="ar"/>
        </w:rPr>
        <w:t xml:space="preserve">（电子信息类）</w:t>
      </w:r>
      <w:r>
        <w:rPr>
          <w:rFonts w:hint="eastAsia" w:ascii="宋体" w:hAnsi="宋体" w:eastAsia="宋体" w:cs="宋体"/>
          <w:i w:val="0"/>
          <w:iCs w:val="0"/>
          <w:strike w:val="0"/>
          <w:color w:val="auto"/>
          <w:sz w:val="21"/>
          <w:szCs w:val="21"/>
          <w:highlight w:val="none"/>
          <w:u w:val="none"/>
          <w:lang w:val="en-US" w:eastAsia="zh-CN" w:bidi="ar"/>
        </w:rPr>
        <w:t xml:space="preserve">、人社部门颁发的系统集成项目管理工程师</w:t>
      </w:r>
      <w:r>
        <w:rPr>
          <w:rFonts w:hint="eastAsia" w:ascii="宋体" w:hAnsi="宋体" w:eastAsia="宋体" w:cs="宋体"/>
          <w:color w:val="auto"/>
          <w:sz w:val="21"/>
          <w:szCs w:val="21"/>
          <w:highlight w:val="none"/>
          <w:lang w:val="en-US" w:eastAsia="zh-CN"/>
        </w:rPr>
        <w:t xml:space="preserve">的优先；</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3.投标人拟派项目组成员具有人社部门颁发的系统分析师证书、人社部门颁发的软件设计师证书、人社部门颁发的系统架构设</w:t>
      </w:r>
      <w:r>
        <w:rPr>
          <w:rFonts w:hint="eastAsia" w:ascii="宋体" w:hAnsi="宋体" w:eastAsia="宋体" w:cs="宋体"/>
          <w:i w:val="0"/>
          <w:iCs w:val="0"/>
          <w:strike w:val="0"/>
          <w:color w:val="auto"/>
          <w:sz w:val="21"/>
          <w:szCs w:val="21"/>
          <w:highlight w:val="none"/>
          <w:u w:val="none"/>
          <w:lang w:val="en-US" w:eastAsia="zh-CN" w:bidi="ar"/>
        </w:rPr>
        <w:t xml:space="preserve">计师证书、人社部门颁发的信息系统项目管理师证书的优先。</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strike w:val="0"/>
          <w:color w:val="auto"/>
          <w:sz w:val="21"/>
          <w:szCs w:val="21"/>
          <w:highlight w:val="none"/>
          <w:lang w:val="en-US" w:eastAsia="zh-CN"/>
        </w:rPr>
      </w:pPr>
      <w:r>
        <w:rPr>
          <w:rFonts w:hint="eastAsia" w:ascii="宋体" w:hAnsi="宋体" w:eastAsia="宋体" w:cs="宋体"/>
          <w:b/>
          <w:bCs/>
          <w:strike w:val="0"/>
          <w:color w:val="auto"/>
          <w:sz w:val="21"/>
          <w:szCs w:val="21"/>
          <w:highlight w:val="none"/>
          <w:lang w:val="en-US" w:eastAsia="zh-CN"/>
        </w:rPr>
        <w:t xml:space="preserve">八、技术方案</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strike w:val="0"/>
          <w:color w:val="auto"/>
          <w:sz w:val="21"/>
          <w:szCs w:val="21"/>
          <w:highlight w:val="none"/>
          <w:lang w:val="en-US" w:eastAsia="zh-CN"/>
        </w:rPr>
      </w:pPr>
      <w:r>
        <w:rPr>
          <w:rFonts w:hint="eastAsia" w:ascii="宋体" w:hAnsi="宋体" w:eastAsia="宋体" w:cs="宋体"/>
          <w:b/>
          <w:bCs/>
          <w:strike w:val="0"/>
          <w:color w:val="auto"/>
          <w:sz w:val="21"/>
          <w:szCs w:val="21"/>
          <w:highlight w:val="none"/>
          <w:lang w:val="en-US" w:eastAsia="zh-CN"/>
        </w:rPr>
        <w:t xml:space="preserve">投标人应根据采购需求和本项目实际要求，制订相应的服务方案至少包含以下内容：</w:t>
      </w:r>
      <w:r/>
    </w:p>
    <w:p>
      <w:pPr>
        <w:ind w:firstLine="420"/>
        <w:keepLines w:val="0"/>
        <w:keepNext w:val="0"/>
        <w:pageBreakBefore w:val="0"/>
        <w:spacing w:line="360" w:lineRule="auto"/>
        <w:widowControl w:val="off"/>
        <w:rPr>
          <w:rFonts w:hint="eastAsia"/>
          <w:color w:val="auto"/>
          <w:sz w:val="21"/>
          <w:szCs w:val="21"/>
          <w:highlight w:val="none"/>
        </w:rPr>
      </w:pPr>
      <w:r/>
      <w:bookmarkStart w:id="173" w:name="_Toc120614281"/>
      <w:r>
        <w:rPr>
          <w:rFonts w:hint="eastAsia"/>
          <w:color w:val="auto"/>
          <w:sz w:val="21"/>
          <w:szCs w:val="21"/>
          <w:highlight w:val="none"/>
        </w:rPr>
        <w:t xml:space="preserve">1.项目实施方案</w:t>
      </w:r>
      <w:r/>
    </w:p>
    <w:p>
      <w:pPr>
        <w:ind w:firstLine="42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方案至少包含：需求分析、组织架构及实施步骤、项目实施计划、业务对接。</w:t>
      </w:r>
      <w:r/>
    </w:p>
    <w:p>
      <w:pPr>
        <w:ind w:firstLine="420"/>
        <w:keepLines w:val="0"/>
        <w:keepNext w:val="0"/>
        <w:pageBreakBefore w:val="0"/>
        <w:spacing w:line="360" w:lineRule="auto"/>
        <w:widowControl w:val="off"/>
        <w:rPr>
          <w:rFonts w:hint="eastAsia" w:eastAsiaTheme="minorEastAsia"/>
          <w:color w:val="auto"/>
          <w:sz w:val="21"/>
          <w:szCs w:val="21"/>
          <w:highlight w:val="none"/>
          <w:lang w:eastAsia="zh-CN"/>
        </w:rPr>
      </w:pPr>
      <w:r>
        <w:rPr>
          <w:rFonts w:hint="eastAsia"/>
          <w:color w:val="auto"/>
          <w:sz w:val="21"/>
          <w:szCs w:val="21"/>
          <w:highlight w:val="none"/>
        </w:rPr>
        <w:t xml:space="preserve">需求分析</w:t>
      </w:r>
      <w:r>
        <w:rPr>
          <w:rFonts w:hint="eastAsia"/>
          <w:color w:val="auto"/>
          <w:sz w:val="21"/>
          <w:szCs w:val="21"/>
          <w:highlight w:val="none"/>
          <w:lang w:eastAsia="zh-CN"/>
        </w:rPr>
        <w:t xml:space="preserve">：</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（1）描述业务现状：立足项目运营场景，对现有业务模式、端到端流程、数据流转、在用系统进行全面梳理与客观描述：</w:t>
      </w:r>
      <w:r>
        <w:rPr>
          <w:rFonts w:hint="eastAsia" w:ascii="宋体" w:hAnsi="宋体" w:eastAsia="宋体" w:cs="宋体"/>
          <w:color w:val="auto"/>
          <w:sz w:val="21"/>
          <w:szCs w:val="21"/>
          <w:highlight w:val="none"/>
          <w:lang w:val="en-US" w:eastAsia="zh-CN" w:bidi="ar-SA"/>
        </w:rPr>
        <w:t xml:space="preserve">完成核</w:t>
      </w:r>
      <w:r>
        <w:rPr>
          <w:rFonts w:hint="eastAsia" w:ascii="宋体" w:hAnsi="宋体" w:eastAsia="宋体" w:cs="宋体"/>
          <w:color w:val="auto"/>
          <w:sz w:val="21"/>
          <w:szCs w:val="21"/>
          <w:highlight w:val="none"/>
          <w:lang w:val="en-US" w:eastAsia="zh-CN" w:bidi="ar-SA"/>
        </w:rPr>
        <w:t xml:space="preserve">心业务链路梳理≥10条，输出标准化业务流程图，明确岗位节点、处理时限、交互规则与输出成果。完成数据流转全链路测绘，形成数据字典、数据流向图、数据血缘关系图各1套，关键数据字段覆盖率100%。全面盘点在用信息系统、网络通道、接口服务、账号权限，形成信息化资产清单。排查业务卡点、数据孤岛、系统协同不足、操作低效等问题，形成问题清单≥20项，精准提炼核心痛点≥5项，并关联效率提升、风险降低、成本节约等量化业务价值。输出需求规格说明书，形成可验证、可验收、可量化需求条目≥100条，经用户确认签字后作为项目实施依据。</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bidi="ar-SA"/>
        </w:rPr>
        <w:t xml:space="preserve">贴合安全要求：紧扣新一代公安信息网规范及大数据安全建设标准，围绕全域安全防护体系、零信任安全架构建设要求开展对标研判。对照现有安全管控能力逐项梳理短板，从访问控制、边界防护、数据安全、持续信任评估等维度，深入剖析当前安全防护体系存在的能力差距与薄弱环节。开展全域安全防护对标研判：形成标准对标对照表，逐项明确合规项、改进项、提升项，确保安全建设有据可依。</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从访问控制、边界防护、数据安全、持续信任评估四个维度，梳理安全短板与能力差距，形成差距清单≥15项，按高/中/低风险分级。</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安全能力量化目标：身份认证与授权：多因子认证覆盖率≥95%，最小权限分配100%，权限变更留痕100%。</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零信任持续评估：信任评估时延≤2秒，策略重授权≤1秒，异常访问拦截率100%。</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数据安全：数据分级分类全覆盖，传输加密100%，敏感字段脱敏100%，操作行为审计100%。</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漏洞管理：高危漏洞整改完成率100%，中危≤7天整改，低危≤30天整改。</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运营管理需求：</w:t>
      </w:r>
      <w:r>
        <w:rPr>
          <w:rFonts w:hint="eastAsia" w:ascii="宋体" w:hAnsi="宋体" w:eastAsia="宋体" w:cs="宋体"/>
          <w:color w:val="auto"/>
          <w:sz w:val="21"/>
          <w:szCs w:val="21"/>
          <w:highlight w:val="none"/>
        </w:rPr>
        <w:t xml:space="preserve">构建健全闭环化项目管控体系，清晰界定各参与岗位职责与协作边界，落实分级责任机制。围绕项目实施全周期，对进度管控、质量管控、风险预警实施一体化管理，</w:t>
      </w:r>
      <w:r>
        <w:rPr>
          <w:rFonts w:hint="eastAsia" w:ascii="宋体" w:hAnsi="宋体" w:eastAsia="宋体" w:cs="宋体"/>
          <w:color w:val="auto"/>
          <w:sz w:val="21"/>
          <w:szCs w:val="21"/>
          <w:highlight w:val="none"/>
          <w:lang w:val="en-US" w:eastAsia="zh-CN"/>
        </w:rPr>
        <w:t xml:space="preserve">同时项目全流程文档交付率100%；所有会议、变更、问题形成书面记录；问题台账闭环率100%，不允许遗留未处置风险至上线，做到全过程留痕、可控可追溯，有效防范各类实施隐患，保障项目标准化、规范化有序推进，确保建设任务平稳落地。</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组织架构及实施步骤</w:t>
      </w:r>
      <w:r>
        <w:rPr>
          <w:rFonts w:hint="eastAsia" w:ascii="宋体" w:hAnsi="宋体" w:eastAsia="宋体" w:cs="宋体"/>
          <w:color w:val="auto"/>
          <w:sz w:val="21"/>
          <w:szCs w:val="21"/>
          <w:highlight w:val="none"/>
          <w:lang w:eastAsia="zh-CN"/>
        </w:rPr>
        <w:t xml:space="preserve">：</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（1）统筹组建专项实施团队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不少于5人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，配置项目经理</w:t>
      </w:r>
      <w:r>
        <w:rPr>
          <w:rFonts w:hint="eastAsia" w:ascii="宋体" w:hAnsi="宋体" w:eastAsia="宋体" w:cs="宋体"/>
          <w:color w:val="auto"/>
          <w:sz w:val="21"/>
          <w:szCs w:val="21"/>
          <w:highlight w:val="none"/>
          <w:lang w:val="en-US" w:eastAsia="zh-CN"/>
        </w:rPr>
        <w:t xml:space="preserve">1名</w:t>
      </w:r>
      <w:r>
        <w:rPr>
          <w:rFonts w:hint="eastAsia" w:ascii="宋体" w:hAnsi="宋体" w:eastAsia="宋体" w:cs="宋体"/>
          <w:color w:val="auto"/>
          <w:sz w:val="21"/>
          <w:szCs w:val="21"/>
          <w:highlight w:val="none"/>
        </w:rPr>
        <w:t xml:space="preserve">、技术开发</w:t>
      </w:r>
      <w:r>
        <w:rPr>
          <w:rFonts w:hint="eastAsia" w:ascii="宋体" w:hAnsi="宋体" w:eastAsia="宋体" w:cs="宋体"/>
          <w:color w:val="auto"/>
          <w:sz w:val="21"/>
          <w:szCs w:val="21"/>
          <w:highlight w:val="none"/>
          <w:lang w:val="en-US" w:eastAsia="zh-CN"/>
        </w:rPr>
        <w:t xml:space="preserve">2名</w:t>
      </w:r>
      <w:r>
        <w:rPr>
          <w:rFonts w:hint="eastAsia" w:ascii="宋体" w:hAnsi="宋体" w:eastAsia="宋体" w:cs="宋体"/>
          <w:color w:val="auto"/>
          <w:sz w:val="21"/>
          <w:szCs w:val="21"/>
          <w:highlight w:val="none"/>
        </w:rPr>
        <w:t xml:space="preserve">、安全运维</w:t>
      </w:r>
      <w:r>
        <w:rPr>
          <w:rFonts w:hint="eastAsia" w:ascii="宋体" w:hAnsi="宋体" w:eastAsia="宋体" w:cs="宋体"/>
          <w:color w:val="auto"/>
          <w:sz w:val="21"/>
          <w:szCs w:val="21"/>
          <w:highlight w:val="none"/>
          <w:lang w:val="en-US" w:eastAsia="zh-CN"/>
        </w:rPr>
        <w:t xml:space="preserve">1名</w:t>
      </w:r>
      <w:r>
        <w:rPr>
          <w:rFonts w:hint="eastAsia" w:ascii="宋体" w:hAnsi="宋体" w:eastAsia="宋体" w:cs="宋体"/>
          <w:color w:val="auto"/>
          <w:sz w:val="21"/>
          <w:szCs w:val="21"/>
          <w:highlight w:val="none"/>
        </w:rPr>
        <w:t xml:space="preserve">、数据对接</w:t>
      </w:r>
      <w:r>
        <w:rPr>
          <w:rFonts w:hint="eastAsia" w:ascii="宋体" w:hAnsi="宋体" w:eastAsia="宋体" w:cs="宋体"/>
          <w:color w:val="auto"/>
          <w:sz w:val="21"/>
          <w:szCs w:val="21"/>
          <w:highlight w:val="none"/>
          <w:lang w:val="en-US" w:eastAsia="zh-CN"/>
        </w:rPr>
        <w:t xml:space="preserve">1名</w:t>
      </w:r>
      <w:r>
        <w:rPr>
          <w:rFonts w:hint="eastAsia" w:ascii="宋体" w:hAnsi="宋体" w:eastAsia="宋体" w:cs="宋体"/>
          <w:color w:val="auto"/>
          <w:sz w:val="21"/>
          <w:szCs w:val="21"/>
          <w:highlight w:val="none"/>
        </w:rPr>
        <w:t xml:space="preserve">等专业人员。清晰划分各岗位权责边界，规范跨角色协同流程，建立常态化沟通机制，保障项目实施、安全保障、数据交互等工作高效协同推进。</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（2）实施按阶段有序推进：先行完成本地业务通信通道搭建，开展零信任体系部署实施；推进部省预留接口的数据对接开发及联调工作。各阶段同步开展功能验证、性能压力测试与安全合规测试</w:t>
      </w:r>
      <w:r>
        <w:rPr>
          <w:rFonts w:hint="eastAsia" w:ascii="宋体" w:hAnsi="宋体" w:eastAsia="宋体" w:cs="宋体"/>
          <w:color w:val="auto"/>
          <w:sz w:val="21"/>
          <w:szCs w:val="21"/>
          <w:highlight w:val="none"/>
          <w:lang w:val="en-US" w:eastAsia="zh-CN" w:bidi="ar-SA"/>
        </w:rPr>
        <w:t xml:space="preserve">，分阶段实施要求：第一阶段：本地业务通信通道搭建，3个工作日内完成，通道连通率100%，带宽、时延、稳定性达标。</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第二阶段：零信任体系部署实施，7个工作日内完成，身份、设备、应用、策略全面配置生效，策略覆盖率100%。第三阶段：部省预留接口开发及联调，10个工作日内完成，接口通断率100%，数据一致性100%。</w:t>
      </w:r>
      <w:r/>
    </w:p>
    <w:p>
      <w:pPr>
        <w:pStyle w:val="1272"/>
        <w:ind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测试保障：性能压力测试≥1轮，满足并发、吞吐量、响应时间指标，通过率100%。安全渗透/合规测试≥1轮，高危漏洞整改100%，中危≤2个工作日整改完成，低危≤5个工作日。各模块稳定可靠，无阻塞、无丢包、无越权访问、无异常中断。</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（3）有序组织业务用户开展试点试用，全面采集使用体验与优化建议，依据反馈迭代完善系统功能</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试点周期不少于7个工作日，收集业务反馈建议逐条登记，反馈整改闭环率100%</w:t>
      </w:r>
      <w:r>
        <w:rPr>
          <w:rFonts w:hint="eastAsia" w:ascii="宋体" w:hAnsi="宋体" w:eastAsia="宋体" w:cs="宋体"/>
          <w:color w:val="auto"/>
          <w:sz w:val="21"/>
          <w:szCs w:val="21"/>
          <w:highlight w:val="none"/>
        </w:rPr>
        <w:t xml:space="preserve">。试点验证通过后启动全域全面推广，同步建立常态化技术支撑机制，完善应急预案，妥善处置上线运行各类突发问题。</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项目实施计划</w:t>
      </w:r>
      <w:r>
        <w:rPr>
          <w:rFonts w:hint="eastAsia" w:ascii="宋体" w:hAnsi="宋体" w:eastAsia="宋体" w:cs="宋体"/>
          <w:color w:val="auto"/>
          <w:sz w:val="21"/>
          <w:szCs w:val="21"/>
          <w:highlight w:val="none"/>
          <w:lang w:eastAsia="zh-CN"/>
        </w:rPr>
        <w:t xml:space="preserve">：</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整体工作拆解为需求确认、通道实施、零信任部署、对接开发、联调测试、试运行、正式上线多个实施阶段。细化各阶段工作任务，明确阶段节点、产出交付成果，落实对应责任人，实行分阶段管控，保障各项工作有序推进、任务闭环落地。</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总实施工期严格控制≤60日，从项目启动至正式上线完成。</w:t>
      </w:r>
      <w:r>
        <w:rPr>
          <w:rFonts w:hint="eastAsia" w:ascii="宋体" w:hAnsi="宋体" w:eastAsia="宋体" w:cs="宋体"/>
          <w:color w:val="auto"/>
          <w:sz w:val="21"/>
          <w:szCs w:val="21"/>
          <w:highlight w:val="none"/>
        </w:rPr>
        <w:t xml:space="preserve">编制完整细化的项目进度计划，输出规范甘特图，清晰载明各项任务起止时间、前后依赖关系，重点标注关键节点与核心里程碑。结合各阶段工作内容统筹人力、技术资源，科学优化资源配置，平衡任务负荷。依托进度图表开展动态跟踪管控，及时预判工期偏差，保障项目按计划有序实施。</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项目建设目标与业务需求制定清晰、可量化的成套验收标准，明确验收内容、指标与判定规则。项目完成实施后先开展内部预验收，全面排查问题并闭环整改；预验收合格后组织各方开展正式验收评审，逐项核对建设成果，确保项目达到预期建设要求，顺利完成验收闭环。</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业务对接</w:t>
      </w:r>
      <w:r>
        <w:rPr>
          <w:rFonts w:hint="eastAsia" w:ascii="宋体" w:hAnsi="宋体" w:eastAsia="宋体" w:cs="宋体"/>
          <w:color w:val="auto"/>
          <w:sz w:val="21"/>
          <w:szCs w:val="21"/>
          <w:highlight w:val="none"/>
          <w:lang w:eastAsia="zh-CN"/>
        </w:rPr>
        <w:t xml:space="preserve">：</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接口梳理与对接</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全覆盖梳理本次建设涉及业务系统，厘清接口协议、数据格式、交互流程、传输频次，接口清单完整率100%。编制系统对接实施方案，明确交互流程、数据安全要求、异常处理机制。</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制定联调测试计划，测试场景≥20个，步骤清晰、判定准则可量化，确保跨系统对接稳定。</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（2）规范建立完备的数据校验规则，制定平滑业务切换策略与应急回退方案，保障切换过程可控。搭建多方问题协调处置机制，明确问题上报、研判、整改流程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对接过程问题台账闭环率100%。</w:t>
      </w:r>
      <w:r>
        <w:rPr>
          <w:rFonts w:hint="eastAsia" w:ascii="宋体" w:hAnsi="宋体" w:eastAsia="宋体" w:cs="宋体"/>
          <w:color w:val="auto"/>
          <w:sz w:val="21"/>
          <w:szCs w:val="21"/>
          <w:highlight w:val="none"/>
        </w:rPr>
        <w:t xml:space="preserve">。实时保障业务不间断运行，维持跨系统交互的数据完整性、一致性，有效规避业务中断、数据失真等风险，保障系统平稳对接运行。</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定标准化跨系统对接工作流程，规范对接各环节操作规范。配置专职对接人员统筹相关工作，建立定期沟通会商机制，及时同步建设进展与工作要求。针对实施过程中的协作堵点开展专项协调，推动问题快速处置，有效化解多方协同壁垒，最大限度降低项目实施过程中的各类风险。</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2.培训服务方案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方案至少包含：培训目的、培训服务原则、培训质量保障、培训时间计划、培训内容方案。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（1）培训目的：面向业务操作人员、系统管理员、安全负责人开展分层分类培训，</w:t>
      </w:r>
      <w:r>
        <w:rPr>
          <w:rFonts w:hint="default" w:ascii="宋体" w:hAnsi="宋体" w:eastAsia="宋体" w:cs="宋体"/>
          <w:color w:val="auto"/>
          <w:sz w:val="21"/>
          <w:szCs w:val="21"/>
          <w:highlight w:val="none"/>
          <w:lang w:val="en-US" w:eastAsia="zh-CN"/>
        </w:rPr>
        <w:t xml:space="preserve">参训覆盖率100%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使其熟练掌握系统日常操作、运维管控、安全策略配置等核心技能。明晰岗位操作规范、风险注意事项与应急处置流程，夯实人员技术能力，保障系统常态化稳定运行，落实安全管理责任，充分发挥项目建设成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培训原则：坚持分角色精准施教，依据操作人员、管理员、安全负责人岗位职责差异化设置培训内容；突出实操演练，摒弃纯理论授课；严守安全合规底线，遵循公安信息网相关管理规范；紧贴真实业务场景开展实战化教学，提升参训人员问题处置能力，保障培训成果可直接落地应用。</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障：建立全流程培训质量管控机制，培训前开展需求调研，精准匹配各岗位学习重点；培训过程穿插实操考核，检验知识掌握程度；培训结束后开展满意度调研与效果评估。针对薄弱人员组织专项补训，形成调研-授课-考核-评估-补强的闭环管理，切实保障培训实效。</w:t>
      </w:r>
      <w:r>
        <w:rPr>
          <w:rFonts w:hint="eastAsia" w:ascii="宋体" w:hAnsi="宋体" w:eastAsia="宋体" w:cs="宋体"/>
          <w:color w:val="auto"/>
          <w:sz w:val="21"/>
          <w:szCs w:val="21"/>
          <w:highlight w:val="none"/>
        </w:rPr>
        <w:t xml:space="preserve">课前调研100%，精准匹配学习重点。</w:t>
      </w:r>
      <w:r/>
    </w:p>
    <w:p>
      <w:pPr>
        <w:pStyle w:val="1259"/>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课中实操考核≥3次，当场纠错、当场达标。课后满意度≥95%，技能考核合格率≥90%。薄弱人员专项补训，确保最终达标率100%。交付全套培训资料：课件、操作手册、视频、考核题库。</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时间计划：紧密贴合项目整体实施节点分阶段组织培训。先期开展骨干人员专项培训，打造内部技术支撑力量；项目试运行阶段组织全员操作培训，普及基础使用能力；系统正式上线后持续开展能力提升培训，强化运维处置、安全管控实战水平，保障培训节奏与项目推进同步落地。</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内容方案：培训内容全面覆盖平台基础认知、日常业务流程操作、零信任访问策略配置管理、系统常规运维操作，以及各类突发场景应急处置流程。结合公安信息网安全管理要求配套讲解风险防范要点，理论结合实例讲解，帮助各岗位人员完整掌握系统全生命周期相关操作与管控能力。</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3.售后服务方案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方案至少包含：售后服务目标和内容、售后服务承诺和保证、售后服务队伍方案。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（1）目标与内容：</w:t>
      </w:r>
      <w:r>
        <w:rPr>
          <w:rFonts w:hint="eastAsia" w:ascii="宋体" w:hAnsi="宋体" w:eastAsia="宋体" w:cs="宋体"/>
          <w:color w:val="auto"/>
          <w:sz w:val="21"/>
          <w:szCs w:val="21"/>
          <w:highlight w:val="none"/>
          <w:lang w:val="en-US" w:eastAsia="zh-CN"/>
        </w:rPr>
        <w:t xml:space="preserve">在质保期限3年内，</w:t>
      </w:r>
      <w:r>
        <w:rPr>
          <w:rFonts w:hint="eastAsia" w:ascii="宋体" w:hAnsi="宋体" w:eastAsia="宋体" w:cs="宋体"/>
          <w:color w:val="auto"/>
          <w:sz w:val="21"/>
          <w:szCs w:val="21"/>
          <w:highlight w:val="none"/>
        </w:rPr>
        <w:t xml:space="preserve">以保障系统长期持续、安全稳定运行为核心目标，构建常态化运维保障服务体系。提供 7×24 小时服务热线、远程技术支撑，及时响应各类故障诉求；落实周期性现场巡检，同步开展安全基线加固、漏洞排查以及系统版本迭代升级工作，主动消除运行隐患。通过事前预防、事中处置、持续优化，保障业务不间断平稳运转。</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诺和保证：建立分级故障处置机制，依据故障严重程度明确对应的响应时限、现场抵达时间与业务恢复指标。常态化开展主动运维巡检，定期输出系统运行健康分析报告；统筹保障硬件备件储备、软件授权持续有效，避免授权失效、硬件故障影响业务运行。严格落实各项服务约定，高效处置各类异常，筑牢系统稳定运行保障基础。</w:t>
      </w:r>
      <w:r>
        <w:rPr>
          <w:rFonts w:hint="eastAsia" w:ascii="宋体" w:hAnsi="宋体" w:eastAsia="宋体" w:cs="宋体"/>
          <w:color w:val="auto"/>
          <w:sz w:val="21"/>
          <w:szCs w:val="21"/>
          <w:highlight w:val="none"/>
        </w:rPr>
        <w:t xml:space="preserve">故障分级响应承诺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Ⅰ级故障（核心业务中断）：15分钟响应，1小时到场，4小时恢复业务。Ⅱ级故障（重要功能不可用）：30分钟响应，2小时到场，8小时恢复。Ⅲ级故障（一般异常）：2小时响应，优先远程处置，24小时恢复。Ⅳ级故障（咨询/优化）：4小时响应，48小时内办结。</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队伍方案：搭建常态化日常运维与突发场景应急处置一体化服务体系，实行分工值守机制。组建专业运维服务团队，相关人员熟练掌握业务通道运维、零信任体系管控、跨系统接口对接等核心业务，具备独立排查、处置各类相关故障的实战能力。通过常态化技术储备，实现日常问题快速响应、重大突发事件高效协同处置。</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4.应急响应方案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方案至少包含：应急预案、防范措施、故障响应及处理、重大活动及节假日保障措施。</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应急预案：围绕业务中断、数据泄露、零信任体系访问失效等典型安全与运行风险场景编制专项应急预案。清晰界定应急组织架构、岗位职责、处置流程、上报路径与恢复措施。建立常态化应急演练机制，定期组织实战演练，检验预案可行性，持续优化处置流程，提升突发故障快速响应能力，最大限度降低事件带来的业务与安全风险。</w:t>
      </w:r>
      <w:r>
        <w:rPr>
          <w:rFonts w:hint="eastAsia" w:ascii="宋体" w:hAnsi="宋体" w:eastAsia="宋体" w:cs="宋体"/>
          <w:color w:val="auto"/>
          <w:sz w:val="21"/>
          <w:szCs w:val="21"/>
          <w:highlight w:val="none"/>
        </w:rPr>
        <w:t xml:space="preserve">编制专项应急预案≥5套：业务中断、数据泄露、零信任访问失效、网络攻击、接口雪崩。明确应急组织架构、岗位职责、处置流程、上报路径、恢复措施、复盘要求。每季度组织 1 次实战应急演练，覆盖率100%，持续优化预案。目标：平均故障恢复时间（MTTR）≤4小时，最大限度降低业务与安全风险。</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防范措施：搭建7×24小时实时运行监控体系，持续监测系统运行状态、访问行为与业务链路。定期开展安全漏洞扫描、账号权限合规核查，及时清理冗余权限、消除安全隐患。常态化执行数据备份操作，并定期开展备份恢复有效性验证，确保备份数据可用。通过主动监测、风险排查与备份校验，前置化解各类运行及安全风险。</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故障响应及处理：建立统一故障受理入口，实行故障分级分类处置机制，根据故障影响范围、严重程度设定对应的响应与业务恢复时限。快速开展故障排查、修复与业务恢复工作。针对造成较大影响的重大故障，完成处置后开展深度复盘，形成根因分析报告，制定长效优化整改措施，避免同类问题重复发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故障处置完成后3个工作日内提交正式根因分析报告与优化方案。</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重保措施：重保措施：在重大活动、重要节假日来临前制定专项安全保障实施方案，落实封网管控相关要求，严控系统变更、版本调整等操作。适度增派运维值守人员，实行专人在岗值守，提升巡检频次，持续监测通道运行、零信任访问及数据交互状态。提前</w:t>
      </w:r>
      <w:r>
        <w:rPr>
          <w:rFonts w:hint="eastAsia" w:ascii="宋体" w:hAnsi="宋体" w:eastAsia="宋体" w:cs="宋体"/>
          <w:color w:val="auto"/>
          <w:sz w:val="21"/>
          <w:szCs w:val="21"/>
          <w:highlight w:val="none"/>
          <w:lang w:val="en-US" w:eastAsia="zh-CN"/>
        </w:rPr>
        <w:t xml:space="preserve">排查潜在风险，快速处置各类异常，全力保障重保期</w:t>
      </w:r>
      <w:r>
        <w:rPr>
          <w:rFonts w:hint="eastAsia" w:ascii="宋体" w:hAnsi="宋体" w:eastAsia="宋体" w:cs="宋体"/>
          <w:color w:val="auto"/>
          <w:sz w:val="21"/>
          <w:szCs w:val="21"/>
          <w:highlight w:val="none"/>
        </w:rPr>
        <w:t xml:space="preserve">间业务持续稳定、安全有序运行。</w:t>
      </w:r>
      <w:r>
        <w:rPr>
          <w:rFonts w:hint="eastAsia" w:ascii="宋体" w:hAnsi="宋体" w:eastAsia="宋体" w:cs="宋体"/>
          <w:color w:val="auto"/>
          <w:sz w:val="21"/>
          <w:szCs w:val="21"/>
          <w:highlight w:val="none"/>
        </w:rPr>
        <w:t xml:space="preserve">重保前7天</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专项保障方案，落实封网要求，严控变更与升级。增派专人在岗值守，实行7×24小时现场+远程双保障。巡检频次提升至每4小时1次，重点监测通道、零信任、数据交互。重保前3天完成全覆盖风险排查，隐患清零。保障目标：重保期间零中断、零事故、零违规。</w:t>
      </w:r>
      <w:r/>
    </w:p>
    <w:p>
      <w:pPr>
        <w:pStyle w:val="1272"/>
        <w:ind w:firstLine="422"/>
        <w:jc w:val="both"/>
        <w:keepLines w:val="0"/>
        <w:keepNext w:val="0"/>
        <w:pageBreakBefore w:val="0"/>
        <w:spacing w:beforeAutospacing="0" w:afterAutospacing="0"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九、本项目不接受进口产品投标。</w:t>
      </w:r>
      <w:r/>
    </w:p>
    <w:p>
      <w:pPr>
        <w:jc w:val="center"/>
        <w:rPr>
          <w:rFonts w:hint="eastAsia" w:ascii="黑体" w:hAnsi="宋体" w:eastAsia="黑体" w:cs="黑体"/>
          <w:color w:val="auto"/>
          <w:sz w:val="21"/>
          <w:szCs w:val="21"/>
          <w:highlight w:val="none"/>
        </w:rPr>
        <w:outlineLvl w:val="9"/>
      </w:pPr>
      <w:r>
        <w:rPr>
          <w:rFonts w:hint="eastAsia" w:ascii="黑体" w:hAnsi="宋体" w:eastAsia="黑体" w:cs="黑体"/>
          <w:color w:val="auto"/>
          <w:sz w:val="21"/>
          <w:szCs w:val="21"/>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9"/>
      </w:pPr>
      <w:r>
        <w:rPr>
          <w:rFonts w:hint="eastAsia" w:ascii="黑体" w:hAnsi="宋体" w:eastAsia="黑体" w:cs="黑体"/>
          <w:color w:val="auto"/>
          <w:sz w:val="44"/>
          <w:szCs w:val="44"/>
          <w:highlight w:val="none"/>
        </w:rPr>
      </w:r>
      <w:r/>
    </w:p>
    <w:p>
      <w:pPr>
        <w:pStyle w:val="1258"/>
        <w:ind w:left="0" w:firstLine="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1259"/>
        <w:jc w:val="both"/>
        <w:spacing w:beforeAutospacing="0" w:afterAutospacing="0"/>
        <w:rPr>
          <w:color w:val="auto"/>
          <w:highlight w:val="none"/>
        </w:rPr>
      </w:pPr>
      <w:r>
        <w:rPr>
          <w:color w:val="auto"/>
          <w:highlight w:val="none"/>
        </w:rPr>
        <w:t xml:space="preserve"> </w:t>
      </w:r>
      <w:r/>
    </w:p>
    <w:p>
      <w:pPr>
        <w:ind w:firstLine="198"/>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一、定标原则</w:t>
      </w:r>
      <w:r/>
    </w:p>
    <w:p>
      <w:pPr>
        <w:ind w:firstLine="197"/>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综合评分</w:t>
      </w:r>
      <w:r>
        <w:rPr>
          <w:rFonts w:hint="eastAsia" w:ascii="宋体" w:hAnsi="宋体" w:eastAsia="宋体" w:cs="宋体"/>
          <w:bCs/>
          <w:color w:val="auto"/>
          <w:sz w:val="21"/>
          <w:szCs w:val="21"/>
          <w:highlight w:val="none"/>
        </w:rPr>
        <w:t xml:space="preserve">法。</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。投标文件满足招标文件全部实质性要求，且按照评审因素的量化指标评审得分最高的投标人为排名第一的中标候选人，本项目选取1名中标候选人。</w:t>
      </w:r>
      <w:r/>
    </w:p>
    <w:p>
      <w:pPr>
        <w:pStyle w:val="1259"/>
        <w:ind w:firstLine="539"/>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68"/>
        <w:ind w:left="0" w:firstLine="197"/>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给予20%的扣除价格。</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w:t>
      </w:r>
      <w:r>
        <w:rPr>
          <w:rFonts w:hint="eastAsia" w:ascii="宋体" w:hAnsi="宋体" w:eastAsia="宋体" w:cs="宋体"/>
          <w:color w:val="auto"/>
          <w:sz w:val="21"/>
          <w:szCs w:val="21"/>
          <w:highlight w:val="none"/>
          <w:lang w:eastAsia="zh-CN"/>
        </w:rPr>
        <w:t xml:space="preserve">。</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w:t>
      </w:r>
      <w:r>
        <w:rPr>
          <w:rFonts w:hint="eastAsia" w:ascii="宋体" w:hAnsi="宋体" w:eastAsia="宋体" w:cs="宋体"/>
          <w:color w:val="auto"/>
          <w:sz w:val="21"/>
          <w:szCs w:val="21"/>
          <w:highlight w:val="none"/>
          <w:lang w:eastAsia="zh-CN"/>
        </w:rPr>
        <w:t xml:space="preserve">。</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1259"/>
        <w:ind w:left="0" w:firstLine="197"/>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6、联合体各方均为小型、微型企业（残疾人福利单位、监狱企业）的，联合体享受20%的价格扣除</w:t>
      </w:r>
      <w:r>
        <w:rPr>
          <w:rFonts w:hint="eastAsia" w:ascii="宋体" w:hAnsi="宋体" w:eastAsia="宋体" w:cs="宋体"/>
          <w:color w:val="auto"/>
          <w:sz w:val="21"/>
          <w:szCs w:val="21"/>
          <w:highlight w:val="none"/>
          <w:lang w:eastAsia="zh-CN"/>
        </w:rPr>
        <w:t xml:space="preserve">。</w:t>
      </w:r>
      <w:r/>
    </w:p>
    <w:p>
      <w:pPr>
        <w:ind w:left="0" w:firstLine="198"/>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7、采购本国产品的支持政策</w:t>
      </w:r>
      <w:r/>
    </w:p>
    <w:p>
      <w:pPr>
        <w:ind w:left="0" w:firstLine="198"/>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1"/>
          <w:szCs w:val="21"/>
          <w:highlight w:val="none"/>
          <w:u w:val="single"/>
        </w:rPr>
        <w:t xml:space="preserve">20%</w:t>
      </w:r>
      <w:r>
        <w:rPr>
          <w:rFonts w:hint="eastAsia" w:asciiTheme="minorEastAsia" w:hAnsiTheme="minorEastAsia" w:eastAsiaTheme="minorEastAsia" w:cstheme="minorEastAsia"/>
          <w:b/>
          <w:bCs/>
          <w:color w:val="auto"/>
          <w:sz w:val="21"/>
          <w:szCs w:val="21"/>
          <w:highlight w:val="none"/>
        </w:rPr>
        <w:t xml:space="preserve">的价格扣除，用扣除后的价格参与评审。</w:t>
      </w:r>
      <w:r/>
    </w:p>
    <w:p>
      <w:pPr>
        <w:ind w:left="0" w:firstLine="198"/>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1"/>
          <w:szCs w:val="21"/>
          <w:highlight w:val="none"/>
          <w:u w:val="single"/>
        </w:rPr>
        <w:t xml:space="preserve">80%</w:t>
      </w:r>
      <w:r>
        <w:rPr>
          <w:rFonts w:hint="eastAsia" w:asciiTheme="minorEastAsia" w:hAnsiTheme="minorEastAsia" w:eastAsiaTheme="minorEastAsia" w:cstheme="minorEastAsia"/>
          <w:b/>
          <w:bCs/>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1"/>
          <w:szCs w:val="21"/>
          <w:highlight w:val="none"/>
          <w:u w:val="single"/>
        </w:rPr>
        <w:t xml:space="preserve">20%</w:t>
      </w:r>
      <w:r>
        <w:rPr>
          <w:rFonts w:hint="eastAsia" w:asciiTheme="minorEastAsia" w:hAnsiTheme="minorEastAsia" w:eastAsiaTheme="minorEastAsia" w:cstheme="minorEastAsia"/>
          <w:b/>
          <w:bCs/>
          <w:color w:val="auto"/>
          <w:sz w:val="21"/>
          <w:szCs w:val="21"/>
          <w:highlight w:val="none"/>
        </w:rPr>
        <w:t xml:space="preserve">的价格扣除，用扣除后的价格参与评审。供应商未填写比例数值，或比例数值未达到80%的，将不享受本国产品价格评审优惠。</w:t>
      </w:r>
      <w:r/>
    </w:p>
    <w:p>
      <w:pPr>
        <w:ind w:left="0" w:firstLine="198"/>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7.3 供应商需按照招标文件的要求提供《关于符合本国产品标准的声明函》（以下简称《声明函》），如不提供将不享受本国产品价格评审优惠。</w:t>
      </w:r>
      <w:r/>
    </w:p>
    <w:p>
      <w:pPr>
        <w:ind w:left="0" w:firstLine="198"/>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1"/>
          <w:szCs w:val="21"/>
          <w:highlight w:val="none"/>
          <w:lang w:val="en-US" w:eastAsia="zh-CN"/>
        </w:rPr>
        <w:t xml:space="preserve">横</w:t>
      </w:r>
      <w:r>
        <w:rPr>
          <w:rFonts w:hint="eastAsia" w:asciiTheme="minorEastAsia" w:hAnsiTheme="minorEastAsia" w:eastAsiaTheme="minorEastAsia" w:cstheme="minorEastAsia"/>
          <w:b/>
          <w:bCs/>
          <w:color w:val="auto"/>
          <w:sz w:val="21"/>
          <w:szCs w:val="21"/>
          <w:highlight w:val="none"/>
        </w:rPr>
        <w:t xml:space="preserve">线划除的地方无需填写），三项信息中任意一项未填写的视为该项产品不符合本国产品标准，不享受本国产品价格评审优惠。</w:t>
      </w:r>
      <w:r/>
    </w:p>
    <w:p>
      <w:pPr>
        <w:ind w:left="0" w:firstLine="198"/>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highlight w:val="none"/>
          <w:lang w:val="en-US" w:eastAsia="zh-CN"/>
        </w:rPr>
        <w:t xml:space="preserve">在苏采云系统</w:t>
      </w:r>
      <w:r>
        <w:rPr>
          <w:rFonts w:hint="eastAsia" w:ascii="宋体" w:hAnsi="宋体" w:eastAsia="宋体" w:cs="宋体"/>
          <w:b/>
          <w:bCs/>
          <w:color w:val="auto"/>
          <w:sz w:val="21"/>
          <w:szCs w:val="21"/>
          <w:highlight w:val="none"/>
        </w:rPr>
        <w:t xml:space="preserve">要求</w:t>
      </w:r>
      <w:r>
        <w:rPr>
          <w:rFonts w:hint="eastAsia" w:asciiTheme="minorEastAsia" w:hAnsiTheme="minorEastAsia" w:eastAsiaTheme="minorEastAsia" w:cstheme="minorEastAsia"/>
          <w:b/>
          <w:bCs/>
          <w:color w:val="auto"/>
          <w:sz w:val="21"/>
          <w:szCs w:val="21"/>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197"/>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198"/>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评标方法与评标标准</w:t>
      </w:r>
      <w:r/>
    </w:p>
    <w:tbl>
      <w:tblPr>
        <w:tblStyle w:val="1252"/>
        <w:tblW w:w="100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1"/>
        <w:gridCol w:w="747"/>
        <w:gridCol w:w="8061"/>
        <w:gridCol w:w="835"/>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评分要素</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满足招标文件要求且投标价格最低的投标报价为评标基准价，其价格分为满分。其他投标人的价格分统一按照下列公式计算：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投标报价得分=(评标基准价／投标报价)×</w:t>
            </w:r>
            <w:r>
              <w:rPr>
                <w:rFonts w:hint="eastAsia" w:ascii="宋体" w:hAnsi="宋体" w:eastAsia="宋体" w:cs="宋体"/>
                <w:i w:val="0"/>
                <w:iCs w:val="0"/>
                <w:strike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（四舍五入后保留小数点后两位）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Fonts w:hint="default"/>
                <w:color w:val="auto"/>
                <w:highlight w:val="none"/>
                <w:lang w:val="en-US"/>
              </w:rPr>
              <w:suppressLineNumbers w:val="0"/>
            </w:pPr>
            <w:r>
              <w:rPr>
                <w:rStyle w:val="1273"/>
                <w:rFonts w:hint="eastAsia" w:ascii="宋体" w:hAnsi="宋体" w:eastAsia="宋体" w:cs="宋体"/>
                <w:color w:val="auto"/>
                <w:sz w:val="21"/>
                <w:szCs w:val="21"/>
                <w:highlight w:val="none"/>
                <w:lang w:val="en-US" w:eastAsia="zh-CN" w:bidi="ar"/>
              </w:rPr>
              <w:t xml:space="preserve">投标文</w:t>
            </w:r>
            <w:r>
              <w:rPr>
                <w:rStyle w:val="1273"/>
                <w:rFonts w:hint="eastAsia" w:ascii="宋体" w:hAnsi="宋体" w:eastAsia="宋体" w:cs="宋体"/>
                <w:strike w:val="0"/>
                <w:color w:val="auto"/>
                <w:sz w:val="21"/>
                <w:szCs w:val="21"/>
                <w:highlight w:val="none"/>
                <w:lang w:val="en-US" w:eastAsia="zh-CN" w:bidi="ar"/>
              </w:rPr>
              <w:t xml:space="preserve">件采购需求中标“</w:t>
            </w:r>
            <w:r>
              <w:rPr>
                <w:rStyle w:val="1273"/>
                <w:rFonts w:hint="eastAsia" w:ascii="宋体" w:hAnsi="宋体" w:cs="宋体"/>
                <w:strike w:val="0"/>
                <w:color w:val="auto"/>
                <w:sz w:val="21"/>
                <w:szCs w:val="21"/>
                <w:highlight w:val="none"/>
                <w:lang w:val="en-US" w:eastAsia="zh-CN" w:bidi="ar"/>
              </w:rPr>
              <w:t xml:space="preserve">▲”</w:t>
            </w:r>
            <w:r>
              <w:rPr>
                <w:rStyle w:val="1273"/>
                <w:rFonts w:hint="eastAsia" w:ascii="宋体" w:hAnsi="宋体" w:eastAsia="宋体" w:cs="宋体"/>
                <w:strike w:val="0"/>
                <w:color w:val="auto"/>
                <w:sz w:val="21"/>
                <w:szCs w:val="21"/>
                <w:highlight w:val="none"/>
                <w:lang w:val="en-US" w:eastAsia="zh-CN" w:bidi="ar"/>
              </w:rPr>
              <w:t xml:space="preserve">项为重要技术指标，有一项满足的得1.5分，全部满足的得30分。</w:t>
            </w:r>
            <w:r>
              <w:rPr>
                <w:rStyle w:val="1273"/>
                <w:rFonts w:hint="eastAsia" w:ascii="宋体" w:hAnsi="宋体" w:eastAsia="宋体" w:cs="宋体"/>
                <w:strike w:val="0"/>
                <w:color w:val="auto"/>
                <w:sz w:val="21"/>
                <w:szCs w:val="21"/>
                <w:highlight w:val="none"/>
                <w:lang w:val="en-US" w:eastAsia="zh-CN" w:bidi="ar"/>
              </w:rPr>
              <w:br/>
            </w:r>
            <w:r>
              <w:rPr>
                <w:rStyle w:val="1273"/>
                <w:rFonts w:hint="eastAsia" w:ascii="宋体" w:hAnsi="宋体" w:eastAsia="宋体" w:cs="宋体"/>
                <w:strike w:val="0"/>
                <w:color w:val="auto"/>
                <w:sz w:val="21"/>
                <w:szCs w:val="21"/>
                <w:highlight w:val="none"/>
                <w:lang w:val="en-US" w:eastAsia="zh-CN" w:bidi="ar"/>
              </w:rPr>
              <w:t xml:space="preserve">注：</w:t>
            </w:r>
            <w:r>
              <w:rPr>
                <w:rFonts w:hint="eastAsia" w:ascii="宋体" w:hAnsi="宋体" w:cs="宋体"/>
                <w:strike w:val="0"/>
                <w:color w:val="auto"/>
                <w:highlight w:val="none"/>
                <w:lang w:bidi="ar"/>
              </w:rPr>
              <w:t xml:space="preserve">根据招标文件要求提供证明材料，未能提供的视为负偏离，没有要求的技术参数性能指标根据</w:t>
            </w:r>
            <w:r>
              <w:rPr>
                <w:rFonts w:hint="eastAsia" w:ascii="宋体" w:hAnsi="宋体" w:cs="宋体"/>
                <w:strike w:val="0"/>
                <w:color w:val="auto"/>
                <w:highlight w:val="none"/>
                <w:lang w:eastAsia="zh-CN" w:bidi="ar"/>
              </w:rPr>
              <w:t xml:space="preserve">《</w:t>
            </w:r>
            <w:r>
              <w:rPr>
                <w:rFonts w:hint="eastAsia" w:ascii="宋体" w:hAnsi="宋体" w:cs="宋体"/>
                <w:strike w:val="0"/>
                <w:color w:val="auto"/>
                <w:highlight w:val="none"/>
                <w:lang w:bidi="ar"/>
              </w:rPr>
              <w:t xml:space="preserve">技术要求响应及偏离表</w:t>
            </w:r>
            <w:r>
              <w:rPr>
                <w:rFonts w:hint="eastAsia" w:ascii="宋体" w:hAnsi="宋体" w:cs="宋体"/>
                <w:strike w:val="0"/>
                <w:color w:val="auto"/>
                <w:highlight w:val="none"/>
                <w:lang w:eastAsia="zh-CN" w:bidi="ar"/>
              </w:rPr>
              <w:t xml:space="preserve">》</w:t>
            </w:r>
            <w:r>
              <w:rPr>
                <w:rFonts w:hint="eastAsia" w:ascii="宋体" w:hAnsi="宋体" w:cs="宋体"/>
                <w:strike w:val="0"/>
                <w:color w:val="auto"/>
                <w:highlight w:val="none"/>
                <w:lang w:val="en-US" w:eastAsia="zh-CN" w:bidi="ar"/>
              </w:rPr>
              <w:t xml:space="preserve">进</w:t>
            </w:r>
            <w:r>
              <w:rPr>
                <w:rFonts w:hint="eastAsia" w:ascii="宋体" w:hAnsi="宋体" w:cs="宋体"/>
                <w:strike w:val="0"/>
                <w:color w:val="auto"/>
                <w:highlight w:val="none"/>
                <w:lang w:bidi="ar"/>
              </w:rPr>
              <w:t xml:space="preserve">行评审。</w:t>
            </w:r>
            <w:r>
              <w:rPr>
                <w:rFonts w:hint="eastAsia" w:ascii="宋体" w:hAnsi="宋体" w:cs="宋体"/>
                <w:strike w:val="0"/>
                <w:color w:val="auto"/>
                <w:highlight w:val="none"/>
                <w:lang w:eastAsia="zh-CN" w:bidi="ar"/>
              </w:rPr>
              <w:t xml:space="preserve">中标后</w:t>
            </w:r>
            <w:r>
              <w:rPr>
                <w:rFonts w:hint="eastAsia" w:ascii="宋体" w:hAnsi="宋体" w:cs="宋体"/>
                <w:strike w:val="0"/>
                <w:color w:val="auto"/>
                <w:highlight w:val="none"/>
                <w:lang w:val="en-US" w:eastAsia="zh-CN" w:bidi="ar"/>
              </w:rPr>
              <w:t xml:space="preserve">验收时</w:t>
            </w:r>
            <w:r>
              <w:rPr>
                <w:rFonts w:hint="eastAsia" w:ascii="宋体" w:hAnsi="宋体" w:cs="宋体"/>
                <w:strike w:val="0"/>
                <w:color w:val="auto"/>
                <w:highlight w:val="none"/>
                <w:lang w:eastAsia="zh-CN" w:bidi="ar"/>
              </w:rPr>
              <w:t xml:space="preserve">中标人须提供相</w:t>
            </w:r>
            <w:r>
              <w:rPr>
                <w:rFonts w:hint="eastAsia" w:ascii="宋体" w:hAnsi="宋体" w:cs="宋体"/>
                <w:strike w:val="0"/>
                <w:color w:val="auto"/>
                <w:highlight w:val="none"/>
                <w:lang w:val="en-US" w:eastAsia="zh-CN" w:bidi="ar"/>
              </w:rPr>
              <w:t xml:space="preserve">对应要求</w:t>
            </w:r>
            <w:r>
              <w:rPr>
                <w:rFonts w:hint="eastAsia" w:ascii="宋体" w:hAnsi="宋体" w:cs="宋体"/>
                <w:strike w:val="0"/>
                <w:color w:val="auto"/>
                <w:highlight w:val="none"/>
                <w:lang w:eastAsia="zh-CN" w:bidi="ar"/>
              </w:rPr>
              <w:t xml:space="preserve">关检测报告</w:t>
            </w:r>
            <w:r>
              <w:rPr>
                <w:rFonts w:hint="eastAsia" w:ascii="宋体" w:hAnsi="宋体" w:cs="宋体"/>
                <w:strike w:val="0"/>
                <w:color w:val="auto"/>
                <w:highlight w:val="none"/>
                <w:lang w:val="en-US" w:eastAsia="zh-CN" w:bidi="ar"/>
              </w:rPr>
              <w:t xml:space="preserve">及证书</w:t>
            </w:r>
            <w:r>
              <w:rPr>
                <w:rFonts w:hint="eastAsia" w:ascii="宋体" w:hAnsi="宋体" w:cs="宋体"/>
                <w:strike w:val="0"/>
                <w:color w:val="auto"/>
                <w:highlight w:val="none"/>
                <w:lang w:eastAsia="zh-CN" w:bidi="ar"/>
              </w:rPr>
              <w:t xml:space="preserve">供招标人审核。</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bCs/>
                <w:strike w:val="0"/>
                <w:color w:val="auto"/>
                <w:sz w:val="21"/>
                <w:szCs w:val="21"/>
                <w:highlight w:val="none"/>
                <w:lang w:val="en-US" w:eastAsia="zh-CN" w:bidi="ar"/>
              </w:rPr>
              <w:t xml:space="preserve">1.项目实施方案</w:t>
            </w:r>
            <w:r/>
          </w:p>
          <w:p>
            <w:pPr>
              <w:jc w:val="left"/>
              <w:keepLines w:val="0"/>
              <w:keepNext w:val="0"/>
              <w:pageBreakBefore w:val="0"/>
              <w:spacing w:line="360" w:lineRule="auto"/>
              <w:widowControl w:val="off"/>
              <w:rPr>
                <w:rStyle w:val="1273"/>
                <w:rFonts w:hint="eastAsia" w:ascii="宋体" w:hAnsi="宋体" w:eastAsia="宋体" w:cs="宋体"/>
                <w:b w:val="0"/>
                <w:bCs w:val="0"/>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投标人应在第四章采购需求“项目实施方案”内容上深化，方案至少包含：（1）需求分析；（2）组织架构及实施步骤；（3）项目实施计划；(4)业务对接</w:t>
            </w:r>
            <w:r>
              <w:rPr>
                <w:rStyle w:val="1273"/>
                <w:rFonts w:hint="eastAsia" w:ascii="宋体" w:hAnsi="宋体" w:eastAsia="宋体" w:cs="宋体"/>
                <w:strike w:val="0"/>
                <w:color w:val="auto"/>
                <w:sz w:val="21"/>
                <w:szCs w:val="21"/>
                <w:highlight w:val="none"/>
                <w:lang w:val="en-US" w:eastAsia="zh-CN" w:bidi="ar"/>
              </w:rPr>
              <w:t xml:space="preserve">等内容</w:t>
            </w:r>
            <w:r>
              <w:rPr>
                <w:rStyle w:val="1273"/>
                <w:rFonts w:hint="eastAsia" w:ascii="宋体" w:hAnsi="宋体" w:eastAsia="宋体" w:cs="宋体"/>
                <w:b w:val="0"/>
                <w:bCs w:val="0"/>
                <w:strike w:val="0"/>
                <w:color w:val="auto"/>
                <w:sz w:val="21"/>
                <w:szCs w:val="21"/>
                <w:highlight w:val="none"/>
                <w:lang w:val="en-US" w:eastAsia="zh-CN" w:bidi="ar"/>
              </w:rPr>
              <w:t xml:space="preserve">；方案优于要求的得2.5分，符合要求得1分，不符合要求或未提供的不得分。</w:t>
            </w:r>
            <w:r/>
          </w:p>
          <w:p>
            <w:pPr>
              <w:jc w:val="left"/>
              <w:keepLines w:val="0"/>
              <w:keepNext w:val="0"/>
              <w:pageBreakBefore w:val="0"/>
              <w:spacing w:line="360" w:lineRule="auto"/>
              <w:widowControl w:val="off"/>
              <w:rPr>
                <w:rStyle w:val="1273"/>
                <w:rFonts w:hint="eastAsia" w:ascii="宋体" w:hAnsi="宋体" w:eastAsia="宋体" w:cs="宋体"/>
                <w:b w:val="0"/>
                <w:bCs w:val="0"/>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bCs/>
                <w:strike w:val="0"/>
                <w:color w:val="auto"/>
                <w:sz w:val="21"/>
                <w:szCs w:val="21"/>
                <w:highlight w:val="none"/>
                <w:lang w:val="en-US" w:eastAsia="zh-CN" w:bidi="ar"/>
              </w:rPr>
              <w:t xml:space="preserve">2.培训服务方案</w:t>
            </w:r>
            <w:r/>
          </w:p>
          <w:p>
            <w:pPr>
              <w:jc w:val="left"/>
              <w:keepLines w:val="0"/>
              <w:keepNext w:val="0"/>
              <w:pageBreakBefore w:val="0"/>
              <w:spacing w:line="360" w:lineRule="auto"/>
              <w:widowControl w:val="off"/>
              <w:rPr>
                <w:rStyle w:val="1273"/>
                <w:rFonts w:hint="eastAsia" w:ascii="宋体" w:hAnsi="宋体" w:eastAsia="宋体" w:cs="宋体"/>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投标人应在第四章采购需求“培训服务方案”内容上深化，方案至少包含：（1）</w:t>
            </w:r>
            <w:r>
              <w:rPr>
                <w:rStyle w:val="1273"/>
                <w:rFonts w:hint="eastAsia" w:ascii="宋体" w:hAnsi="宋体" w:eastAsia="宋体" w:cs="宋体"/>
                <w:strike w:val="0"/>
                <w:color w:val="auto"/>
                <w:sz w:val="21"/>
                <w:szCs w:val="21"/>
                <w:highlight w:val="none"/>
                <w:lang w:val="en-US" w:eastAsia="zh-CN" w:bidi="ar"/>
              </w:rPr>
              <w:t xml:space="preserve">培训目的；（2）培训服务原则；（3）培训质量保障；（4）培训时间计划；（5）培训内容方案等内容；方案优于要求的得2.5分，符合要求得1分，不符合要求或未提供的不得分。</w:t>
            </w:r>
            <w:r/>
          </w:p>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bCs/>
                <w:strike w:val="0"/>
                <w:color w:val="auto"/>
                <w:sz w:val="21"/>
                <w:szCs w:val="21"/>
                <w:highlight w:val="none"/>
                <w:lang w:val="en-US" w:eastAsia="zh-CN" w:bidi="ar"/>
              </w:rPr>
              <w:t xml:space="preserve">3.售后服务方案</w:t>
            </w:r>
            <w:r/>
          </w:p>
          <w:p>
            <w:pPr>
              <w:jc w:val="left"/>
              <w:keepLines w:val="0"/>
              <w:keepNext w:val="0"/>
              <w:pageBreakBefore w:val="0"/>
              <w:spacing w:line="360" w:lineRule="auto"/>
              <w:widowControl w:val="off"/>
              <w:rPr>
                <w:rStyle w:val="1273"/>
                <w:rFonts w:hint="eastAsia" w:ascii="宋体" w:hAnsi="宋体" w:eastAsia="宋体" w:cs="宋体"/>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投标人应在第四章采购需求“售后服务方案”内容上深化，</w:t>
            </w:r>
            <w:r>
              <w:rPr>
                <w:rStyle w:val="1273"/>
                <w:rFonts w:hint="eastAsia" w:ascii="宋体" w:hAnsi="宋体" w:eastAsia="宋体" w:cs="宋体"/>
                <w:strike w:val="0"/>
                <w:color w:val="auto"/>
                <w:sz w:val="21"/>
                <w:szCs w:val="21"/>
                <w:highlight w:val="none"/>
                <w:lang w:val="en-US" w:eastAsia="zh-CN" w:bidi="ar"/>
              </w:rPr>
              <w:t xml:space="preserve">方案至少包含：（1）售后服务目标和内容；（2）售后服务承诺和保证；（3）售后服务队伍方案等内容；方案优于要求的得2.5分，符合要求得1分，不符合要求或未提供的不得分。</w:t>
            </w:r>
            <w:r/>
          </w:p>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jc w:val="left"/>
              <w:keepLines w:val="0"/>
              <w:keepNext w:val="0"/>
              <w:pageBreakBefore w:val="0"/>
              <w:spacing w:line="360" w:lineRule="auto"/>
              <w:widowControl w:val="off"/>
              <w:rPr>
                <w:rStyle w:val="1273"/>
                <w:rFonts w:hint="eastAsia" w:ascii="宋体" w:hAnsi="宋体" w:eastAsia="宋体" w:cs="宋体"/>
                <w:b/>
                <w:bCs/>
                <w:strike w:val="0"/>
                <w:color w:val="auto"/>
                <w:sz w:val="21"/>
                <w:szCs w:val="21"/>
                <w:highlight w:val="none"/>
                <w:lang w:val="en-US" w:eastAsia="zh-CN" w:bidi="ar"/>
              </w:rPr>
              <w:suppressLineNumbers w:val="0"/>
            </w:pPr>
            <w:r>
              <w:rPr>
                <w:rStyle w:val="1273"/>
                <w:rFonts w:hint="eastAsia" w:ascii="宋体" w:hAnsi="宋体" w:eastAsia="宋体" w:cs="宋体"/>
                <w:b/>
                <w:bCs/>
                <w:strike w:val="0"/>
                <w:color w:val="auto"/>
                <w:sz w:val="21"/>
                <w:szCs w:val="21"/>
                <w:highlight w:val="none"/>
                <w:lang w:val="en-US" w:eastAsia="zh-CN" w:bidi="ar"/>
              </w:rPr>
              <w:t xml:space="preserve">4.应急响应方案</w:t>
            </w:r>
            <w:r/>
          </w:p>
          <w:p>
            <w:pPr>
              <w:jc w:val="left"/>
              <w:keepLines w:val="0"/>
              <w:keepNext w:val="0"/>
              <w:pageBreakBefore w:val="0"/>
              <w:spacing w:line="360" w:lineRule="auto"/>
              <w:widowControl w:val="off"/>
              <w:rPr>
                <w:rStyle w:val="1273"/>
                <w:rFonts w:hint="eastAsia" w:ascii="宋体" w:hAnsi="宋体" w:eastAsia="宋体" w:cs="宋体"/>
                <w:strike/>
                <w:color w:val="auto"/>
                <w:sz w:val="21"/>
                <w:szCs w:val="21"/>
                <w:highlight w:val="none"/>
                <w:lang w:val="en-US" w:eastAsia="zh-CN" w:bidi="ar"/>
              </w:rPr>
              <w:suppressLineNumbers w:val="0"/>
            </w:pPr>
            <w:r>
              <w:rPr>
                <w:rStyle w:val="1273"/>
                <w:rFonts w:hint="eastAsia" w:ascii="宋体" w:hAnsi="宋体" w:eastAsia="宋体" w:cs="宋体"/>
                <w:b w:val="0"/>
                <w:bCs w:val="0"/>
                <w:strike w:val="0"/>
                <w:color w:val="auto"/>
                <w:sz w:val="21"/>
                <w:szCs w:val="21"/>
                <w:highlight w:val="none"/>
                <w:lang w:val="en-US" w:eastAsia="zh-CN" w:bidi="ar"/>
              </w:rPr>
              <w:t xml:space="preserve">投标人应在第四章采购需求“应急响应方案”内容上深化，</w:t>
            </w:r>
            <w:r>
              <w:rPr>
                <w:rStyle w:val="1273"/>
                <w:rFonts w:hint="eastAsia" w:ascii="宋体" w:hAnsi="宋体" w:eastAsia="宋体" w:cs="宋体"/>
                <w:strike w:val="0"/>
                <w:color w:val="auto"/>
                <w:sz w:val="21"/>
                <w:szCs w:val="21"/>
                <w:highlight w:val="none"/>
                <w:lang w:val="en-US" w:eastAsia="zh-CN" w:bidi="ar"/>
              </w:rPr>
              <w:t xml:space="preserve">方案至少包含：（1）应急预案,；（2）防范措施；（3）故障响应及处理；（4）重大活动及节假日保障措施等内容；方案优于要求的得2.5分，符合要求得1分，不符合要求或未提供的不得分。</w:t>
            </w:r>
            <w:r>
              <w:rPr>
                <w:rStyle w:val="1273"/>
                <w:rFonts w:hint="eastAsia" w:ascii="宋体" w:hAnsi="宋体" w:eastAsia="宋体" w:cs="宋体"/>
                <w:b w:val="0"/>
                <w:bCs w:val="0"/>
                <w:strike w:val="0"/>
                <w:color w:val="auto"/>
                <w:sz w:val="21"/>
                <w:szCs w:val="21"/>
                <w:highlight w:val="none"/>
                <w:lang w:val="en-US" w:eastAsia="zh-CN"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3734"/>
        </w:trPr>
        <w:tc>
          <w:tcPr>
            <w:shd w:val="clear" w:color="auto" w:fill="auto"/>
            <w:tcBorders>
              <w:top w:val="single" w:color="000000" w:sz="4" w:space="0"/>
              <w:left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747" w:type="dxa"/>
            <w:vAlign w:val="center"/>
            <w:textDirection w:val="lrTb"/>
            <w:noWrap w:val="false"/>
          </w:tcPr>
          <w:p>
            <w:pPr>
              <w:pStyle w:val="1254"/>
              <w:rPr>
                <w:rFonts w:hint="default"/>
                <w:color w:val="auto"/>
                <w:highlight w:val="none"/>
                <w:lang w:val="en-US"/>
              </w:rPr>
            </w:pPr>
            <w:r>
              <w:rPr>
                <w:rFonts w:hint="eastAsia" w:ascii="宋体" w:hAnsi="宋体" w:eastAsia="宋体" w:cs="宋体"/>
                <w:i w:val="0"/>
                <w:iCs w:val="0"/>
                <w:strike w:val="0"/>
                <w:color w:val="auto"/>
                <w:sz w:val="21"/>
                <w:szCs w:val="21"/>
                <w:highlight w:val="none"/>
                <w:u w:val="none"/>
                <w:lang w:val="en-US" w:eastAsia="zh-CN" w:bidi="ar"/>
              </w:rPr>
              <w:t xml:space="preserve">类似业绩</w:t>
            </w:r>
            <w:r/>
          </w:p>
        </w:tc>
        <w:tc>
          <w:tcPr>
            <w:shd w:val="clear" w:color="auto" w:fill="auto"/>
            <w:tcBorders>
              <w:top w:val="single" w:color="000000" w:sz="4" w:space="0"/>
              <w:left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Style w:val="1273"/>
                <w:rFonts w:hint="eastAsia" w:ascii="宋体" w:hAnsi="宋体" w:eastAsia="宋体" w:cs="宋体"/>
                <w:color w:val="auto"/>
                <w:sz w:val="21"/>
                <w:szCs w:val="21"/>
                <w:highlight w:val="none"/>
                <w:lang w:val="en-US" w:eastAsia="zh-CN" w:bidi="ar"/>
              </w:rPr>
              <w:suppressLineNumbers w:val="0"/>
            </w:pPr>
            <w:r>
              <w:rPr>
                <w:rStyle w:val="1273"/>
                <w:rFonts w:hint="eastAsia" w:ascii="宋体" w:hAnsi="宋体" w:eastAsia="宋体" w:cs="宋体"/>
                <w:color w:val="auto"/>
                <w:sz w:val="21"/>
                <w:szCs w:val="21"/>
                <w:highlight w:val="none"/>
                <w:lang w:val="en-US" w:eastAsia="zh-CN" w:bidi="ar"/>
              </w:rPr>
              <w:t xml:space="preserve">1.</w:t>
            </w:r>
            <w:r>
              <w:rPr>
                <w:rStyle w:val="1273"/>
                <w:rFonts w:hint="default" w:ascii="宋体" w:hAnsi="宋体" w:eastAsia="宋体" w:cs="宋体"/>
                <w:color w:val="auto"/>
                <w:sz w:val="21"/>
                <w:szCs w:val="21"/>
                <w:highlight w:val="none"/>
                <w:lang w:val="en-US" w:eastAsia="zh-CN" w:bidi="ar"/>
              </w:rPr>
              <w:t xml:space="preserve">投标人提供自202</w:t>
            </w:r>
            <w:r>
              <w:rPr>
                <w:rStyle w:val="1273"/>
                <w:rFonts w:hint="eastAsia" w:ascii="宋体" w:hAnsi="宋体" w:eastAsia="宋体" w:cs="宋体"/>
                <w:color w:val="auto"/>
                <w:sz w:val="21"/>
                <w:szCs w:val="21"/>
                <w:highlight w:val="none"/>
                <w:lang w:val="en-US" w:eastAsia="zh-CN" w:bidi="ar"/>
              </w:rPr>
              <w:t xml:space="preserve">2</w:t>
            </w:r>
            <w:r>
              <w:rPr>
                <w:rStyle w:val="1273"/>
                <w:rFonts w:hint="default" w:ascii="宋体" w:hAnsi="宋体" w:eastAsia="宋体" w:cs="宋体"/>
                <w:color w:val="auto"/>
                <w:sz w:val="21"/>
                <w:szCs w:val="21"/>
                <w:highlight w:val="none"/>
                <w:lang w:val="en-US" w:eastAsia="zh-CN" w:bidi="ar"/>
              </w:rPr>
              <w:t xml:space="preserve">年1月1日以来</w:t>
            </w:r>
            <w:r>
              <w:rPr>
                <w:rFonts w:hint="eastAsia" w:ascii="宋体" w:hAnsi="宋体" w:eastAsia="宋体" w:cs="宋体"/>
                <w:bCs/>
                <w:color w:val="auto"/>
                <w:sz w:val="24"/>
                <w:szCs w:val="24"/>
                <w:highlight w:val="none"/>
              </w:rPr>
              <w:t xml:space="preserve">（</w:t>
            </w:r>
            <w:r>
              <w:rPr>
                <w:rStyle w:val="1273"/>
                <w:rFonts w:hint="eastAsia" w:ascii="宋体" w:hAnsi="宋体" w:eastAsia="宋体" w:cs="宋体"/>
                <w:color w:val="auto"/>
                <w:sz w:val="21"/>
                <w:szCs w:val="21"/>
                <w:highlight w:val="none"/>
                <w:lang w:val="en-US" w:eastAsia="zh-CN" w:bidi="ar"/>
              </w:rPr>
              <w:t xml:space="preserve">以合同签订时间为准）</w:t>
            </w:r>
            <w:r>
              <w:rPr>
                <w:rStyle w:val="1273"/>
                <w:rFonts w:hint="default" w:ascii="宋体" w:hAnsi="宋体" w:eastAsia="宋体" w:cs="宋体"/>
                <w:color w:val="auto"/>
                <w:sz w:val="21"/>
                <w:szCs w:val="21"/>
                <w:highlight w:val="none"/>
                <w:lang w:val="en-US" w:eastAsia="zh-CN" w:bidi="ar"/>
              </w:rPr>
              <w:t xml:space="preserve">承担过的类似</w:t>
            </w:r>
            <w:r>
              <w:rPr>
                <w:rStyle w:val="1273"/>
                <w:rFonts w:hint="eastAsia" w:ascii="宋体" w:hAnsi="宋体" w:eastAsia="宋体" w:cs="宋体"/>
                <w:color w:val="auto"/>
                <w:sz w:val="21"/>
                <w:szCs w:val="21"/>
                <w:highlight w:val="none"/>
                <w:lang w:val="en-US" w:eastAsia="zh-CN" w:bidi="ar"/>
              </w:rPr>
              <w:t xml:space="preserve">本</w:t>
            </w:r>
            <w:r>
              <w:rPr>
                <w:rStyle w:val="1273"/>
                <w:rFonts w:hint="default" w:ascii="宋体" w:hAnsi="宋体" w:eastAsia="宋体" w:cs="宋体"/>
                <w:color w:val="auto"/>
                <w:sz w:val="21"/>
                <w:szCs w:val="21"/>
                <w:highlight w:val="none"/>
                <w:lang w:val="en-US" w:eastAsia="zh-CN" w:bidi="ar"/>
              </w:rPr>
              <w:t xml:space="preserve">项目业绩（</w:t>
            </w:r>
            <w:r>
              <w:rPr>
                <w:rStyle w:val="1273"/>
                <w:rFonts w:hint="eastAsia" w:ascii="宋体" w:hAnsi="宋体" w:eastAsia="宋体" w:cs="宋体"/>
                <w:color w:val="auto"/>
                <w:sz w:val="21"/>
                <w:szCs w:val="21"/>
                <w:highlight w:val="none"/>
                <w:lang w:val="en-US" w:eastAsia="zh-CN" w:bidi="ar"/>
              </w:rPr>
              <w:t xml:space="preserve">网络安全设备供货类</w:t>
            </w:r>
            <w:r>
              <w:rPr>
                <w:rStyle w:val="1273"/>
                <w:rFonts w:hint="default" w:ascii="宋体" w:hAnsi="宋体" w:eastAsia="宋体" w:cs="宋体"/>
                <w:color w:val="auto"/>
                <w:sz w:val="21"/>
                <w:szCs w:val="21"/>
                <w:highlight w:val="none"/>
                <w:lang w:val="en-US" w:eastAsia="zh-CN" w:bidi="ar"/>
              </w:rPr>
              <w:t xml:space="preserve">），每提供1个有效业绩得</w:t>
            </w:r>
            <w:r>
              <w:rPr>
                <w:rStyle w:val="1273"/>
                <w:rFonts w:hint="eastAsia" w:ascii="宋体" w:hAnsi="宋体" w:eastAsia="宋体" w:cs="宋体"/>
                <w:color w:val="auto"/>
                <w:sz w:val="21"/>
                <w:szCs w:val="21"/>
                <w:highlight w:val="none"/>
                <w:lang w:val="en-US" w:eastAsia="zh-CN" w:bidi="ar"/>
              </w:rPr>
              <w:t xml:space="preserve">2</w:t>
            </w:r>
            <w:r>
              <w:rPr>
                <w:rStyle w:val="1273"/>
                <w:rFonts w:hint="default" w:ascii="宋体" w:hAnsi="宋体" w:eastAsia="宋体" w:cs="宋体"/>
                <w:color w:val="auto"/>
                <w:sz w:val="21"/>
                <w:szCs w:val="21"/>
                <w:highlight w:val="none"/>
                <w:lang w:val="en-US" w:eastAsia="zh-CN" w:bidi="ar"/>
              </w:rPr>
              <w:t xml:space="preserve">分，本项最高得</w:t>
            </w:r>
            <w:r>
              <w:rPr>
                <w:rStyle w:val="1273"/>
                <w:rFonts w:hint="eastAsia" w:ascii="宋体" w:hAnsi="宋体" w:eastAsia="宋体" w:cs="宋体"/>
                <w:color w:val="auto"/>
                <w:sz w:val="21"/>
                <w:szCs w:val="21"/>
                <w:highlight w:val="none"/>
                <w:lang w:val="en-US" w:eastAsia="zh-CN" w:bidi="ar"/>
              </w:rPr>
              <w:t xml:space="preserve">10</w:t>
            </w:r>
            <w:r>
              <w:rPr>
                <w:rStyle w:val="1273"/>
                <w:rFonts w:hint="default" w:ascii="宋体" w:hAnsi="宋体" w:eastAsia="宋体" w:cs="宋体"/>
                <w:color w:val="auto"/>
                <w:sz w:val="21"/>
                <w:szCs w:val="21"/>
                <w:highlight w:val="none"/>
                <w:lang w:val="en-US" w:eastAsia="zh-CN" w:bidi="ar"/>
              </w:rPr>
              <w:t xml:space="preserve">分。</w:t>
            </w:r>
            <w:r/>
          </w:p>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2.产品厂家</w:t>
            </w:r>
            <w:r>
              <w:rPr>
                <w:rStyle w:val="1273"/>
                <w:rFonts w:hint="default" w:ascii="宋体" w:hAnsi="宋体" w:eastAsia="宋体" w:cs="宋体"/>
                <w:color w:val="auto"/>
                <w:sz w:val="21"/>
                <w:szCs w:val="21"/>
                <w:highlight w:val="none"/>
                <w:lang w:val="en-US" w:eastAsia="zh-CN" w:bidi="ar"/>
              </w:rPr>
              <w:t xml:space="preserve">自202</w:t>
            </w:r>
            <w:r>
              <w:rPr>
                <w:rStyle w:val="1273"/>
                <w:rFonts w:hint="eastAsia" w:ascii="宋体" w:hAnsi="宋体" w:eastAsia="宋体" w:cs="宋体"/>
                <w:color w:val="auto"/>
                <w:sz w:val="21"/>
                <w:szCs w:val="21"/>
                <w:highlight w:val="none"/>
                <w:lang w:val="en-US" w:eastAsia="zh-CN" w:bidi="ar"/>
              </w:rPr>
              <w:t xml:space="preserve">2</w:t>
            </w:r>
            <w:r>
              <w:rPr>
                <w:rStyle w:val="1273"/>
                <w:rFonts w:hint="default" w:ascii="宋体" w:hAnsi="宋体" w:eastAsia="宋体" w:cs="宋体"/>
                <w:color w:val="auto"/>
                <w:sz w:val="21"/>
                <w:szCs w:val="21"/>
                <w:highlight w:val="none"/>
                <w:lang w:val="en-US" w:eastAsia="zh-CN" w:bidi="ar"/>
              </w:rPr>
              <w:t xml:space="preserve">年1月1日以来</w:t>
            </w:r>
            <w:r>
              <w:rPr>
                <w:rFonts w:hint="eastAsia" w:ascii="宋体" w:hAnsi="宋体" w:eastAsia="宋体" w:cs="宋体"/>
                <w:bCs/>
                <w:color w:val="auto"/>
                <w:sz w:val="24"/>
                <w:szCs w:val="24"/>
                <w:highlight w:val="none"/>
              </w:rPr>
              <w:t xml:space="preserve">（</w:t>
            </w:r>
            <w:r>
              <w:rPr>
                <w:rStyle w:val="1273"/>
                <w:rFonts w:hint="eastAsia" w:ascii="宋体" w:hAnsi="宋体" w:eastAsia="宋体" w:cs="宋体"/>
                <w:color w:val="auto"/>
                <w:sz w:val="21"/>
                <w:szCs w:val="21"/>
                <w:highlight w:val="none"/>
                <w:lang w:val="en-US" w:eastAsia="zh-CN" w:bidi="ar"/>
              </w:rPr>
              <w:t xml:space="preserve">以合同签订时间为准）</w:t>
            </w:r>
            <w:r>
              <w:rPr>
                <w:rStyle w:val="1273"/>
                <w:rFonts w:hint="default" w:ascii="宋体" w:hAnsi="宋体" w:eastAsia="宋体" w:cs="宋体"/>
                <w:color w:val="auto"/>
                <w:sz w:val="21"/>
                <w:szCs w:val="21"/>
                <w:highlight w:val="none"/>
                <w:lang w:val="en-US" w:eastAsia="zh-CN" w:bidi="ar"/>
              </w:rPr>
              <w:t xml:space="preserve">承担过</w:t>
            </w:r>
            <w:r>
              <w:rPr>
                <w:rStyle w:val="1273"/>
                <w:rFonts w:hint="eastAsia" w:ascii="宋体" w:hAnsi="宋体" w:eastAsia="宋体" w:cs="宋体"/>
                <w:color w:val="auto"/>
                <w:sz w:val="21"/>
                <w:szCs w:val="21"/>
                <w:highlight w:val="none"/>
                <w:lang w:val="en-US" w:eastAsia="zh-CN" w:bidi="ar"/>
              </w:rPr>
              <w:t xml:space="preserve">类似本项目业绩（同一合同内容需至少包含：认证中心模块、权限管理中心模块等</w:t>
            </w:r>
            <w:r>
              <w:rPr>
                <w:rFonts w:hint="eastAsia" w:ascii="宋体" w:hAnsi="宋体" w:eastAsia="宋体" w:cs="宋体"/>
                <w:i w:val="0"/>
                <w:iCs w:val="0"/>
                <w:color w:val="auto"/>
                <w:sz w:val="21"/>
                <w:szCs w:val="21"/>
                <w:highlight w:val="none"/>
                <w:u w:val="none"/>
                <w:lang w:val="en-US" w:eastAsia="zh-CN" w:bidi="ar"/>
              </w:rPr>
              <w:t xml:space="preserve">），每提供1个有效业绩得2.5分，</w:t>
            </w:r>
            <w:r>
              <w:rPr>
                <w:rStyle w:val="1273"/>
                <w:rFonts w:hint="default" w:ascii="宋体" w:hAnsi="宋体" w:eastAsia="宋体" w:cs="宋体"/>
                <w:color w:val="auto"/>
                <w:sz w:val="21"/>
                <w:szCs w:val="21"/>
                <w:highlight w:val="none"/>
                <w:lang w:val="en-US" w:eastAsia="zh-CN" w:bidi="ar"/>
              </w:rPr>
              <w:t xml:space="preserve">本项最高</w:t>
            </w:r>
            <w:r>
              <w:rPr>
                <w:rFonts w:hint="eastAsia" w:ascii="宋体" w:hAnsi="宋体" w:eastAsia="宋体" w:cs="宋体"/>
                <w:i w:val="0"/>
                <w:iCs w:val="0"/>
                <w:color w:val="auto"/>
                <w:sz w:val="21"/>
                <w:szCs w:val="21"/>
                <w:highlight w:val="none"/>
                <w:u w:val="none"/>
                <w:lang w:val="en-US" w:eastAsia="zh-CN" w:bidi="ar"/>
              </w:rPr>
              <w:t xml:space="preserve">得5分。</w:t>
            </w:r>
            <w:r/>
          </w:p>
          <w:p>
            <w:pPr>
              <w:jc w:val="left"/>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eastAsia="zh-CN" w:bidi="ar"/>
              </w:rPr>
              <w:suppressLineNumbers w:val="0"/>
            </w:pPr>
            <w:r>
              <w:rPr>
                <w:rStyle w:val="1273"/>
                <w:rFonts w:hint="eastAsia" w:ascii="宋体" w:hAnsi="宋体" w:eastAsia="宋体" w:cs="宋体"/>
                <w:strike w:val="0"/>
                <w:color w:val="auto"/>
                <w:sz w:val="21"/>
                <w:szCs w:val="21"/>
                <w:highlight w:val="none"/>
                <w:lang w:val="en-US" w:eastAsia="zh-CN" w:bidi="ar"/>
              </w:rPr>
              <w:t xml:space="preserve">注：投标时提供合同扫描件加盖投标人公章，合同复印件须能反映项目名称、主要标的物、合同签订时间、单位公章或专用合同章,如不能反映的，另须提供盖有原委托单位公章的证明，否则不予认可；以上两项可重复计分。</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企业资质</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投标人具有质量管理体系认证证书、环境管理体系认证证书、职业健康安全管理体系认证证书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每提供一个证书得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分，本项最高得</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注：认证证书须在全国认证认可信息公共服务平台网站可查询。投标时证书原件扫描件并加盖投标人公章，提供不全或未提供的不得分。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人员资质</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1、投标人拟派项目负责人：</w:t>
            </w:r>
            <w:r>
              <w:rPr>
                <w:rFonts w:hint="eastAsia" w:ascii="宋体" w:hAnsi="宋体" w:eastAsia="宋体" w:cs="宋体"/>
                <w:i w:val="0"/>
                <w:iCs w:val="0"/>
                <w:color w:val="auto"/>
                <w:sz w:val="21"/>
                <w:szCs w:val="21"/>
                <w:highlight w:val="none"/>
                <w:u w:val="none"/>
                <w:lang w:val="en-US" w:eastAsia="zh-CN" w:bidi="ar"/>
              </w:rPr>
              <w:t xml:space="preserve">具有①人社部门颁发的高级工程师职称证书(信息与通信)、②人社部门颁发的信息系统项目管理师证书、③人社部门颁发的系统架构设计师证书、④人社部门颁发的系统分析师，每有上述任意一项证书的得0.5分，本项最高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2、投标人拟派技术负责人：</w:t>
            </w:r>
            <w:r>
              <w:rPr>
                <w:rFonts w:hint="eastAsia" w:ascii="宋体" w:hAnsi="宋体" w:eastAsia="宋体" w:cs="宋体"/>
                <w:i w:val="0"/>
                <w:iCs w:val="0"/>
                <w:strike w:val="0"/>
                <w:color w:val="auto"/>
                <w:sz w:val="21"/>
                <w:szCs w:val="21"/>
                <w:highlight w:val="none"/>
                <w:u w:val="none"/>
                <w:lang w:val="en-US" w:eastAsia="zh-CN" w:bidi="ar"/>
              </w:rPr>
              <w:t xml:space="preserve">具有</w:t>
            </w:r>
            <w:r>
              <w:rPr>
                <w:rFonts w:hint="eastAsia" w:ascii="宋体" w:hAnsi="宋体" w:eastAsia="宋体" w:cs="宋体"/>
                <w:i w:val="0"/>
                <w:iCs w:val="0"/>
                <w:strike w:val="0"/>
                <w:color w:val="auto"/>
                <w:sz w:val="21"/>
                <w:szCs w:val="21"/>
                <w:highlight w:val="none"/>
                <w:u w:val="none"/>
                <w:lang w:val="en-US" w:eastAsia="zh-CN" w:bidi="ar"/>
              </w:rPr>
              <w:t xml:space="preserve">①人社部门颁发的</w:t>
            </w:r>
            <w:r>
              <w:rPr>
                <w:rFonts w:hint="eastAsia" w:ascii="宋体" w:hAnsi="宋体" w:eastAsia="宋体" w:cs="宋体"/>
                <w:i w:val="0"/>
                <w:iCs w:val="0"/>
                <w:color w:val="auto"/>
                <w:sz w:val="21"/>
                <w:szCs w:val="21"/>
                <w:highlight w:val="none"/>
                <w:u w:val="none"/>
                <w:lang w:val="en-US" w:eastAsia="zh-CN" w:bidi="ar"/>
              </w:rPr>
              <w:t xml:space="preserve">高级工程师职称证书</w:t>
            </w:r>
            <w:r>
              <w:rPr>
                <w:rFonts w:hint="eastAsia" w:ascii="宋体" w:hAnsi="宋体" w:eastAsia="宋体" w:cs="宋体"/>
                <w:i w:val="0"/>
                <w:iCs w:val="0"/>
                <w:color w:val="auto"/>
                <w:sz w:val="21"/>
                <w:szCs w:val="21"/>
                <w:highlight w:val="none"/>
                <w:u w:val="none"/>
                <w:lang w:val="en-US" w:eastAsia="zh-CN" w:bidi="ar"/>
              </w:rPr>
              <w:t xml:space="preserve">（电子信息类）</w:t>
            </w:r>
            <w:r>
              <w:rPr>
                <w:rFonts w:hint="eastAsia" w:ascii="宋体" w:hAnsi="宋体" w:eastAsia="宋体" w:cs="宋体"/>
                <w:i w:val="0"/>
                <w:iCs w:val="0"/>
                <w:color w:val="auto"/>
                <w:sz w:val="21"/>
                <w:szCs w:val="21"/>
                <w:highlight w:val="none"/>
                <w:u w:val="none"/>
                <w:lang w:val="en-US" w:eastAsia="zh-CN" w:bidi="ar"/>
              </w:rPr>
              <w:t xml:space="preserve">，②人社部门颁发的系统集成项目管理工程师，每有上述任意一项证书的得0.5分，本项最高得1分。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投标人拟派项目组成员（除项目负责人外、技术负责人外）：具有①人社部门颁发的系统分析师证书、②人社部门颁发的软件设计师证书、③人社部门颁发的系统架构设计师证书、④人社部门颁发的信息系统项目管理师证书，具备以上任意一项证书的得1分，本项最高得4分。同一种证书只计一次分且不为同一个人，须提供相关人员证书原件扫描件并加盖投标人公章为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上述1-3项，投标时须提供投标截止当月（不含）向前6个月内任意1个月在本单位缴纳养老保险（投标人通过补缴使得项目实施人员的参保符合要求的不予认可）。社保证明须注明缴费起止时间且加盖社保部门有效章印，投标人也可提供印有社会保险管理中心参保缴费证明电子专用章的养老保险缴费清单和参保缴费证明查询途径（事业单位也可提供人社部门出具的该单位及项目组人员事业性质证明原件扫描件；如是返聘人员，只需提供退休证明及与本单位签订的返聘合同扫描件，无需提供人社资料），否则不予计分。</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8061" w:type="dxa"/>
            <w:vAlign w:val="center"/>
            <w:textDirection w:val="lrTb"/>
            <w:noWrap w:val="false"/>
          </w:tcPr>
          <w:p>
            <w:pPr>
              <w:pStyle w:val="1259"/>
              <w:ind w:firstLine="197"/>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分。如投标产品均属于政府强制采购节能产品品目清单范围内，本项不得分。</w:t>
            </w:r>
            <w:r/>
          </w:p>
          <w:p>
            <w:pPr>
              <w:pStyle w:val="1259"/>
              <w:ind w:firstLine="197"/>
              <w:jc w:val="both"/>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pageBreakBefore w:val="0"/>
              <w:spacing w:line="360" w:lineRule="auto"/>
              <w:widowControl w:val="off"/>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2分</w:t>
            </w:r>
            <w:r/>
          </w:p>
        </w:tc>
      </w:tr>
    </w:tbl>
    <w:p>
      <w:pPr>
        <w:pStyle w:val="1259"/>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br w:type="page" w:clear="all"/>
      </w:r>
      <w:r/>
    </w:p>
    <w:p>
      <w:pPr>
        <w:pStyle w:val="1259"/>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1259"/>
        <w:jc w:val="center"/>
        <w:spacing w:beforeAutospacing="0" w:afterAutospacing="0"/>
        <w:rPr>
          <w:color w:val="auto"/>
          <w:highlight w:val="none"/>
        </w:rPr>
      </w:pPr>
      <w:r/>
      <w:bookmarkStart w:id="174" w:name="_Toc120614282"/>
      <w:r/>
      <w:bookmarkEnd w:id="174"/>
      <w:r/>
      <w:bookmarkStart w:id="175" w:name="_Toc49090576"/>
      <w:r/>
      <w:bookmarkEnd w:id="175"/>
      <w:r/>
      <w:bookmarkStart w:id="176" w:name="_Hlt26955039"/>
      <w:r/>
      <w:bookmarkStart w:id="177" w:name="_Hlt26671244"/>
      <w:r/>
      <w:bookmarkStart w:id="178" w:name="_Toc26554094"/>
      <w:r>
        <w:rPr>
          <w:rFonts w:hint="eastAsia" w:ascii="宋体" w:hAnsi="宋体" w:eastAsia="宋体" w:cs="宋体"/>
          <w:b/>
          <w:color w:val="auto"/>
          <w:sz w:val="72"/>
          <w:szCs w:val="72"/>
          <w:highlight w:val="none"/>
        </w:rPr>
        <w:t xml:space="preserve">投  标  文  件</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125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125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125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一、法人或者其他组织的营业执照等证明文件，自然人的身份证明</w:t>
      </w:r>
      <w:r/>
    </w:p>
    <w:p>
      <w:pPr>
        <w:ind w:left="0" w:firstLine="197"/>
        <w:jc w:val="left"/>
        <w:keepLines w:val="0"/>
        <w:keepNext w:val="0"/>
        <w:pageBreakBefore w:val="0"/>
        <w:spacing w:line="360" w:lineRule="auto"/>
        <w:tabs>
          <w:tab w:val="left" w:pos="1331" w:leader="none"/>
        </w:tabs>
        <w:rPr>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auto"/>
          <w:sz w:val="21"/>
          <w:szCs w:val="21"/>
          <w:highlight w:val="none"/>
          <w:u w:val="none"/>
        </w:rPr>
        <w:t xml:space="preserve">投标人成立不满一年无需提供）</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三</w:t>
      </w:r>
      <w:r>
        <w:rPr>
          <w:rFonts w:hint="eastAsia" w:ascii="宋体" w:hAnsi="宋体" w:eastAsia="宋体" w:cs="宋体"/>
          <w:i w:val="0"/>
          <w:iCs/>
          <w:color w:val="auto"/>
          <w:sz w:val="21"/>
          <w:szCs w:val="21"/>
          <w:highlight w:val="none"/>
          <w:u w:val="none"/>
        </w:rPr>
        <w:t xml:space="preserve">、具备履行合同所必需的设备和专业技术能力的书面声明</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五、参加政府采购活动前 3 年内在经营活动中没有重大违法记录的书面声明</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六、特定资格要求的证明文件（如果本项目设置特定资格要求，则需要提供）</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七、法人授权书</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八、投标函</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九、</w:t>
      </w:r>
      <w:r>
        <w:rPr>
          <w:rFonts w:hint="eastAsia" w:ascii="宋体" w:hAnsi="宋体" w:eastAsia="宋体" w:cs="宋体"/>
          <w:i w:val="0"/>
          <w:iCs/>
          <w:color w:val="auto"/>
          <w:sz w:val="21"/>
          <w:szCs w:val="21"/>
          <w:highlight w:val="none"/>
          <w:u w:val="none"/>
          <w:lang w:val="en-US" w:eastAsia="zh-CN"/>
        </w:rPr>
        <w:t xml:space="preserve">中小</w:t>
      </w:r>
      <w:r>
        <w:rPr>
          <w:rFonts w:hint="eastAsia" w:ascii="宋体" w:hAnsi="宋体" w:eastAsia="宋体" w:cs="宋体"/>
          <w:i w:val="0"/>
          <w:iCs/>
          <w:color w:val="auto"/>
          <w:sz w:val="21"/>
          <w:szCs w:val="21"/>
          <w:highlight w:val="none"/>
          <w:u w:val="none"/>
        </w:rPr>
        <w:t xml:space="preserve">企业声明函</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十、残疾人福利性单位声明函</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十一、</w:t>
      </w:r>
      <w:r>
        <w:rPr>
          <w:rFonts w:hint="eastAsia" w:ascii="宋体" w:hAnsi="宋体" w:eastAsia="宋体" w:cs="宋体"/>
          <w:i w:val="0"/>
          <w:iCs/>
          <w:color w:val="auto"/>
          <w:sz w:val="21"/>
          <w:szCs w:val="21"/>
          <w:highlight w:val="none"/>
          <w:u w:val="none"/>
        </w:rPr>
        <w:t xml:space="preserve">关于符合本国产品标准的声明函</w:t>
      </w:r>
      <w:r/>
    </w:p>
    <w:p>
      <w:pPr>
        <w:pStyle w:val="1259"/>
        <w:ind w:left="0" w:firstLine="197"/>
        <w:jc w:val="both"/>
        <w:keepLines w:val="0"/>
        <w:keepNext w:val="0"/>
        <w:pageBreakBefore w:val="0"/>
        <w:spacing w:beforeAutospacing="0" w:afterAutospacing="0" w:line="360" w:lineRule="auto"/>
        <w:rPr>
          <w:rFonts w:hint="default" w:ascii="宋体" w:hAnsi="宋体" w:eastAsia="宋体" w:cs="宋体"/>
          <w:i w:val="0"/>
          <w:iCs/>
          <w:color w:val="auto"/>
          <w:sz w:val="21"/>
          <w:szCs w:val="21"/>
          <w:highlight w:val="none"/>
          <w:u w:val="none"/>
          <w:lang w:val="en-US" w:eastAsia="zh-CN"/>
        </w:rPr>
      </w:pPr>
      <w:r>
        <w:rPr>
          <w:rFonts w:hint="eastAsia" w:ascii="宋体" w:hAnsi="宋体" w:eastAsia="宋体" w:cs="宋体"/>
          <w:i w:val="0"/>
          <w:iCs/>
          <w:color w:val="auto"/>
          <w:sz w:val="21"/>
          <w:szCs w:val="21"/>
          <w:highlight w:val="none"/>
          <w:u w:val="none"/>
          <w:lang w:val="en-US" w:eastAsia="zh-CN"/>
        </w:rPr>
        <w:t xml:space="preserve">十二、投标分项报价表</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三</w:t>
      </w:r>
      <w:r>
        <w:rPr>
          <w:rFonts w:hint="eastAsia" w:ascii="宋体" w:hAnsi="宋体" w:eastAsia="宋体" w:cs="宋体"/>
          <w:i w:val="0"/>
          <w:iCs/>
          <w:color w:val="auto"/>
          <w:sz w:val="21"/>
          <w:szCs w:val="21"/>
          <w:highlight w:val="none"/>
          <w:u w:val="none"/>
        </w:rPr>
        <w:t xml:space="preserve">、技术要求响应及偏离表</w:t>
      </w:r>
      <w:r/>
    </w:p>
    <w:p>
      <w:pPr>
        <w:pStyle w:val="1259"/>
        <w:ind w:left="0" w:firstLine="197"/>
        <w:jc w:val="both"/>
        <w:keepLines w:val="0"/>
        <w:keepNext w:val="0"/>
        <w:pageBreakBefore w:val="0"/>
        <w:spacing w:beforeAutospacing="0" w:afterAutospacing="0" w:line="360" w:lineRule="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、商务要求响应及偏离表</w:t>
      </w:r>
      <w:r/>
    </w:p>
    <w:p>
      <w:pPr>
        <w:pStyle w:val="1259"/>
        <w:ind w:left="0" w:firstLine="197"/>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五</w:t>
      </w:r>
      <w:r>
        <w:rPr>
          <w:rFonts w:hint="eastAsia" w:ascii="宋体" w:hAnsi="宋体" w:eastAsia="宋体" w:cs="宋体"/>
          <w:i w:val="0"/>
          <w:iCs/>
          <w:color w:val="auto"/>
          <w:sz w:val="21"/>
          <w:szCs w:val="21"/>
          <w:highlight w:val="none"/>
          <w:u w:val="none"/>
        </w:rPr>
        <w:t xml:space="preserve">、开标一览表</w:t>
      </w:r>
      <w:r/>
    </w:p>
    <w:p>
      <w:pPr>
        <w:ind w:left="0" w:firstLine="197"/>
        <w:keepLines w:val="0"/>
        <w:keepNext w:val="0"/>
        <w:pageBreakBefore w:val="0"/>
        <w:spacing w:line="360" w:lineRule="auto"/>
        <w:widowControl/>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六</w:t>
      </w:r>
      <w:r>
        <w:rPr>
          <w:rFonts w:hint="eastAsia" w:ascii="宋体" w:hAnsi="宋体" w:eastAsia="宋体" w:cs="宋体"/>
          <w:i w:val="0"/>
          <w:iCs/>
          <w:color w:val="auto"/>
          <w:sz w:val="21"/>
          <w:szCs w:val="21"/>
          <w:highlight w:val="none"/>
          <w:u w:val="none"/>
        </w:rPr>
        <w:t xml:space="preserve">、技术方案、服务承诺、培训承诺等</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七</w:t>
      </w:r>
      <w:r>
        <w:rPr>
          <w:rFonts w:hint="eastAsia" w:ascii="宋体" w:hAnsi="宋体" w:eastAsia="宋体" w:cs="宋体"/>
          <w:i w:val="0"/>
          <w:iCs/>
          <w:color w:val="auto"/>
          <w:sz w:val="21"/>
          <w:szCs w:val="21"/>
          <w:highlight w:val="none"/>
          <w:u w:val="none"/>
        </w:rPr>
        <w:t xml:space="preserve">、盐城市政府采购事前信用承诺书</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十</w:t>
      </w:r>
      <w:r>
        <w:rPr>
          <w:rFonts w:hint="eastAsia" w:ascii="宋体" w:hAnsi="宋体" w:eastAsia="宋体" w:cs="宋体"/>
          <w:i w:val="0"/>
          <w:iCs/>
          <w:color w:val="auto"/>
          <w:sz w:val="21"/>
          <w:szCs w:val="21"/>
          <w:highlight w:val="none"/>
          <w:u w:val="none"/>
          <w:lang w:val="en-US" w:eastAsia="zh-CN"/>
        </w:rPr>
        <w:t xml:space="preserve">八</w:t>
      </w:r>
      <w:r>
        <w:rPr>
          <w:rFonts w:hint="eastAsia" w:ascii="宋体" w:hAnsi="宋体" w:eastAsia="宋体" w:cs="宋体"/>
          <w:i w:val="0"/>
          <w:iCs/>
          <w:color w:val="auto"/>
          <w:sz w:val="21"/>
          <w:szCs w:val="21"/>
          <w:highlight w:val="none"/>
          <w:u w:val="none"/>
          <w:lang w:eastAsia="zh-CN"/>
        </w:rPr>
        <w:t xml:space="preserve">、</w:t>
      </w:r>
      <w:r>
        <w:rPr>
          <w:rFonts w:hint="eastAsia" w:ascii="宋体" w:hAnsi="宋体" w:eastAsia="宋体" w:cs="宋体"/>
          <w:i w:val="0"/>
          <w:iCs/>
          <w:color w:val="auto"/>
          <w:sz w:val="21"/>
          <w:szCs w:val="21"/>
          <w:highlight w:val="none"/>
          <w:u w:val="none"/>
        </w:rPr>
        <w:t xml:space="preserve">项目建设供应商承诺函</w:t>
      </w:r>
      <w:r/>
    </w:p>
    <w:p>
      <w:pPr>
        <w:pStyle w:val="1259"/>
        <w:ind w:left="0" w:firstLine="197"/>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ind w:firstLine="480"/>
        <w:jc w:val="both"/>
        <w:spacing w:beforeAutospacing="0" w:afterAutospacing="0" w:line="0" w:lineRule="atLeast"/>
        <w:rPr>
          <w:color w:val="auto"/>
          <w:highlight w:val="none"/>
        </w:rPr>
      </w:pPr>
      <w:r>
        <w:rPr>
          <w:color w:val="auto"/>
          <w:highlight w:val="none"/>
        </w:rPr>
      </w:r>
      <w:r/>
    </w:p>
    <w:p>
      <w:pPr>
        <w:pStyle w:val="1259"/>
        <w:ind w:firstLine="480"/>
        <w:jc w:val="both"/>
        <w:spacing w:beforeAutospacing="0" w:afterAutospacing="0" w:line="0" w:lineRule="atLeast"/>
        <w:rPr>
          <w:color w:val="auto"/>
          <w:highlight w:val="none"/>
        </w:rPr>
      </w:pPr>
      <w:r>
        <w:rPr>
          <w:color w:val="auto"/>
          <w:highlight w:val="none"/>
        </w:rPr>
      </w:r>
      <w:r/>
    </w:p>
    <w:p>
      <w:pPr>
        <w:pStyle w:val="1259"/>
        <w:ind w:firstLine="480"/>
        <w:jc w:val="both"/>
        <w:spacing w:beforeAutospacing="0" w:afterAutospacing="0" w:line="0" w:lineRule="atLeast"/>
        <w:rPr>
          <w:color w:val="auto"/>
          <w:highlight w:val="none"/>
        </w:rPr>
      </w:pPr>
      <w:r>
        <w:rPr>
          <w:color w:val="auto"/>
          <w:highlight w:val="none"/>
        </w:rPr>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1259"/>
        <w:ind w:firstLine="480"/>
        <w:jc w:val="both"/>
        <w:spacing w:beforeAutospacing="0" w:afterAutospacing="0" w:line="0" w:lineRule="atLeast"/>
        <w:rPr>
          <w:color w:val="auto"/>
          <w:highlight w:val="none"/>
        </w:rPr>
      </w:pPr>
      <w:r>
        <w:rPr>
          <w:color w:val="auto"/>
          <w:highlight w:val="none"/>
        </w:rPr>
        <w:t xml:space="preserve"> </w:t>
      </w:r>
      <w:r/>
    </w:p>
    <w:p>
      <w:pPr>
        <w:pStyle w:val="1259"/>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125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25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25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25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1259"/>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1259"/>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1259"/>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1259"/>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125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1259"/>
        <w:jc w:val="center"/>
        <w:spacing w:beforeAutospacing="0" w:afterAutospacing="0"/>
        <w:rPr>
          <w:rFonts w:ascii="黑体" w:hAnsi="宋体" w:eastAsia="黑体" w:cs="黑体"/>
          <w:i/>
          <w:color w:val="auto"/>
          <w:sz w:val="32"/>
          <w:szCs w:val="32"/>
          <w:highlight w:val="none"/>
          <w:u w:val="single"/>
        </w:rPr>
      </w:pPr>
      <w:r/>
      <w:bookmarkStart w:id="179" w:name="_Toc120614284"/>
      <w:r/>
      <w:r/>
    </w:p>
    <w:p>
      <w:pPr>
        <w:pStyle w:val="125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25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259"/>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259"/>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1259"/>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125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1259"/>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1259"/>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1259"/>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1259"/>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1259"/>
        <w:ind w:firstLine="63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1259"/>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1259"/>
        <w:ind w:firstLine="480"/>
        <w:jc w:val="both"/>
        <w:spacing w:beforeAutospacing="0" w:afterAutospacing="0" w:line="360" w:lineRule="auto"/>
        <w:tabs>
          <w:tab w:val="left" w:pos="360" w:leader="none"/>
        </w:tabs>
        <w:rPr>
          <w:color w:val="auto"/>
          <w:sz w:val="21"/>
          <w:szCs w:val="21"/>
          <w:highlight w:val="none"/>
        </w:rPr>
      </w:pPr>
      <w:r>
        <w:rPr>
          <w:rFonts w:ascii="Times New Roman" w:hAnsi="Times New Roman"/>
          <w:color w:val="auto"/>
          <w:sz w:val="21"/>
          <w:szCs w:val="21"/>
          <w:highlight w:val="none"/>
        </w:rPr>
        <w:t xml:space="preserve">   日期：</w:t>
      </w:r>
      <w:bookmarkStart w:id="180" w:name="_Hlt26671380"/>
      <w:r/>
      <w:bookmarkStart w:id="181" w:name="_格式3__银行出具的资信证明"/>
      <w:r/>
      <w:bookmarkStart w:id="182" w:name="_Hlt26955070"/>
      <w:r>
        <w:rPr>
          <w:rFonts w:ascii="Times New Roman" w:hAnsi="Times New Roman"/>
          <w:color w:val="auto"/>
          <w:sz w:val="21"/>
          <w:szCs w:val="21"/>
          <w:highlight w:val="none"/>
          <w:u w:val="single"/>
        </w:rPr>
        <w:t xml:space="preserve">                                         </w:t>
      </w:r>
      <w:r/>
    </w:p>
    <w:p>
      <w:pPr>
        <w:pStyle w:val="1259"/>
        <w:ind w:firstLine="420"/>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1259"/>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r/>
    </w:p>
    <w:p>
      <w:pPr>
        <w:pStyle w:val="1259"/>
        <w:spacing w:beforeAutospacing="0" w:afterAutospacing="0" w:line="360" w:lineRule="auto"/>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根据贵方的JSZC-***</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号招标文件，正式授权下述签字人_________________(姓名)代表我方______________（投标人的名称），全权处理本次项目投标的有关事宜。</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1.按招标文件规定的各项要求，向买方提供所需货物（包含与货物相关的服务）。</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259"/>
        <w:ind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259"/>
        <w:ind w:left="425"/>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地          址：</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邮          编：</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电          话：</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传          真：</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账          号： </w:t>
      </w:r>
      <w:r/>
    </w:p>
    <w:p>
      <w:pPr>
        <w:pStyle w:val="1259"/>
        <w:ind w:left="420" w:firstLine="480"/>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1259"/>
        <w:ind w:firstLine="240"/>
        <w:jc w:val="center"/>
        <w:spacing w:beforeAutospacing="0" w:afterAutospacing="0" w:line="0" w:lineRule="atLeast"/>
        <w:rPr>
          <w:color w:val="auto"/>
          <w:highlight w:val="none"/>
        </w:rPr>
      </w:pPr>
      <w:r>
        <w:rPr>
          <w:color w:val="auto"/>
          <w:highlight w:val="none"/>
        </w:rPr>
        <w:t xml:space="preserve"> </w:t>
      </w:r>
      <w:r/>
    </w:p>
    <w:p>
      <w:pPr>
        <w:pStyle w:val="1259"/>
        <w:ind w:firstLine="240"/>
        <w:jc w:val="center"/>
        <w:spacing w:beforeAutospacing="0" w:afterAutospacing="0" w:line="0" w:lineRule="atLeast"/>
        <w:rPr>
          <w:color w:val="auto"/>
          <w:highlight w:val="none"/>
        </w:rPr>
      </w:pPr>
      <w:r>
        <w:rPr>
          <w:color w:val="auto"/>
          <w:highlight w:val="none"/>
        </w:rPr>
        <w:t xml:space="preserve"> </w:t>
      </w:r>
      <w:r/>
    </w:p>
    <w:p>
      <w:pPr>
        <w:pStyle w:val="1259"/>
        <w:ind w:firstLine="240"/>
        <w:jc w:val="center"/>
        <w:spacing w:beforeAutospacing="0" w:afterAutospacing="0" w:line="0" w:lineRule="atLeast"/>
        <w:rPr>
          <w:color w:val="auto"/>
          <w:highlight w:val="none"/>
        </w:rPr>
      </w:pPr>
      <w:r>
        <w:rPr>
          <w:color w:val="auto"/>
          <w:highlight w:val="none"/>
        </w:rPr>
        <w:t xml:space="preserve"> </w:t>
      </w:r>
      <w:r/>
    </w:p>
    <w:p>
      <w:pPr>
        <w:pStyle w:val="1259"/>
        <w:ind w:firstLine="240"/>
        <w:jc w:val="center"/>
        <w:spacing w:beforeAutospacing="0" w:afterAutospacing="0" w:line="0" w:lineRule="atLeast"/>
        <w:rPr>
          <w:color w:val="auto"/>
          <w:highlight w:val="none"/>
        </w:rPr>
      </w:pPr>
      <w:r>
        <w:rPr>
          <w:color w:val="auto"/>
          <w:highlight w:val="none"/>
        </w:rPr>
        <w:t xml:space="preserve"> </w:t>
      </w:r>
      <w:r/>
    </w:p>
    <w:p>
      <w:pPr>
        <w:pStyle w:val="1259"/>
        <w:ind w:firstLine="240"/>
        <w:jc w:val="center"/>
        <w:spacing w:beforeAutospacing="0" w:afterAutospacing="0" w:line="0" w:lineRule="atLeast"/>
        <w:rPr>
          <w:color w:val="auto"/>
          <w:highlight w:val="none"/>
        </w:rPr>
      </w:pPr>
      <w:r>
        <w:rPr>
          <w:color w:val="auto"/>
          <w:highlight w:val="none"/>
        </w:rPr>
      </w:r>
      <w:r/>
    </w:p>
    <w:p>
      <w:pPr>
        <w:pStyle w:val="1259"/>
        <w:ind w:firstLine="240"/>
        <w:jc w:val="center"/>
        <w:spacing w:beforeAutospacing="0" w:afterAutospacing="0" w:line="0" w:lineRule="atLeast"/>
        <w:rPr>
          <w:color w:val="auto"/>
          <w:highlight w:val="none"/>
        </w:rPr>
      </w:pPr>
      <w:r>
        <w:rPr>
          <w:color w:val="auto"/>
          <w:highlight w:val="none"/>
        </w:rPr>
      </w:r>
      <w:r/>
    </w:p>
    <w:p>
      <w:pPr>
        <w:pStyle w:val="1259"/>
        <w:ind w:firstLine="240"/>
        <w:jc w:val="center"/>
        <w:spacing w:beforeAutospacing="0" w:afterAutospacing="0" w:line="0" w:lineRule="atLeast"/>
        <w:rPr>
          <w:color w:val="auto"/>
          <w:highlight w:val="none"/>
        </w:rPr>
      </w:pPr>
      <w:r>
        <w:rPr>
          <w:color w:val="auto"/>
          <w:highlight w:val="none"/>
        </w:rPr>
      </w:r>
      <w:r/>
    </w:p>
    <w:p>
      <w:pPr>
        <w:pStyle w:val="1259"/>
        <w:ind w:firstLine="240"/>
        <w:jc w:val="center"/>
        <w:spacing w:beforeAutospacing="0" w:afterAutospacing="0" w:line="0" w:lineRule="atLeast"/>
        <w:rPr>
          <w:color w:val="auto"/>
          <w:highlight w:val="none"/>
        </w:rPr>
      </w:pPr>
      <w:r>
        <w:rPr>
          <w:color w:val="auto"/>
          <w:highlight w:val="none"/>
        </w:rPr>
      </w:r>
      <w:r/>
    </w:p>
    <w:p>
      <w:pPr>
        <w:pStyle w:val="1259"/>
        <w:ind w:firstLine="240"/>
        <w:jc w:val="center"/>
        <w:spacing w:beforeAutospacing="0" w:afterAutospacing="0" w:line="0" w:lineRule="atLeast"/>
        <w:rPr>
          <w:color w:val="auto"/>
          <w:highlight w:val="none"/>
        </w:rPr>
      </w:pPr>
      <w:r>
        <w:rPr>
          <w:color w:val="auto"/>
          <w:highlight w:val="none"/>
        </w:rPr>
      </w:r>
      <w:r/>
    </w:p>
    <w:p>
      <w:pPr>
        <w:pStyle w:val="12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12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2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2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12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12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1259"/>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125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125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1259"/>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125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1259"/>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w:t>
      </w:r>
      <w:r/>
    </w:p>
    <w:p>
      <w:pPr>
        <w:pStyle w:val="1259"/>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项目（分包号：**）采购活动提供本单位制造的货物，或者提供其他残疾人福利性单位制造的货物（不包括使用非残疾人福利性单位注册商标的货物）。</w:t>
      </w:r>
      <w:r/>
    </w:p>
    <w:p>
      <w:pPr>
        <w:pStyle w:val="1259"/>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259"/>
        <w:ind w:firstLine="480"/>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259"/>
        <w:ind w:firstLine="480"/>
        <w:jc w:val="both"/>
        <w:spacing w:beforeAutospacing="0" w:afterAutospacing="0" w:line="360" w:lineRule="auto"/>
        <w:rPr>
          <w:color w:val="auto"/>
          <w:sz w:val="21"/>
          <w:szCs w:val="21"/>
          <w:highlight w:val="none"/>
        </w:rPr>
      </w:pPr>
      <w:r>
        <w:rPr>
          <w:rFonts w:hint="eastAsia" w:ascii="宋体" w:hAnsi="宋体" w:eastAsia="宋体" w:cs="宋体"/>
          <w:color w:val="auto"/>
          <w:sz w:val="21"/>
          <w:szCs w:val="21"/>
          <w:highlight w:val="none"/>
        </w:rPr>
        <w:t xml:space="preserve">备注：1、供应商如不提供此声明函，价格将不做相应扣除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。2、中标供应商为残疾人福利单位的，此声明函将随中标结果同时公告，接受社会监督</w:t>
      </w:r>
      <w:r/>
    </w:p>
    <w:p>
      <w:pPr>
        <w:pStyle w:val="1259"/>
        <w:ind w:firstLine="624"/>
        <w:jc w:val="both"/>
        <w:spacing w:beforeAutospacing="0" w:afterAutospacing="0" w:line="360" w:lineRule="auto"/>
        <w:rPr>
          <w:color w:val="auto"/>
          <w:sz w:val="21"/>
          <w:szCs w:val="21"/>
          <w:highlight w:val="none"/>
        </w:rPr>
      </w:pPr>
      <w:r>
        <w:rPr>
          <w:color w:val="auto"/>
          <w:sz w:val="21"/>
          <w:szCs w:val="21"/>
          <w:highlight w:val="none"/>
        </w:rPr>
        <w:t xml:space="preserve"> </w:t>
      </w:r>
      <w:r/>
    </w:p>
    <w:p>
      <w:pPr>
        <w:pStyle w:val="1259"/>
        <w:ind w:right="1560" w:firstLine="624"/>
        <w:jc w:val="center"/>
        <w:spacing w:beforeAutospacing="0" w:afterAutospacing="0" w:line="360" w:lineRule="auto"/>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供应商全称（加盖CA电子公章）：</w:t>
      </w:r>
      <w:r/>
    </w:p>
    <w:p>
      <w:pPr>
        <w:pStyle w:val="1259"/>
        <w:ind w:right="1560" w:firstLine="480"/>
        <w:jc w:val="center"/>
        <w:spacing w:beforeAutospacing="0" w:afterAutospacing="0" w:line="360" w:lineRule="auto"/>
        <w:tabs>
          <w:tab w:val="left" w:pos="4864" w:leader="none"/>
        </w:tabs>
        <w:rPr>
          <w:color w:val="auto"/>
          <w:sz w:val="21"/>
          <w:szCs w:val="21"/>
          <w:highlight w:val="none"/>
        </w:rPr>
      </w:pPr>
      <w:r>
        <w:rPr>
          <w:rFonts w:hint="eastAsia" w:ascii="宋体" w:hAnsi="宋体" w:eastAsia="宋体" w:cs="宋体"/>
          <w:color w:val="auto"/>
          <w:sz w:val="21"/>
          <w:szCs w:val="21"/>
          <w:highlight w:val="none"/>
        </w:rPr>
        <w:t xml:space="preserve">        日  期：</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pStyle w:val="1259"/>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1259"/>
        <w:ind w:left="0" w:right="0"/>
        <w:jc w:val="center"/>
        <w:keepLines w:val="0"/>
        <w:keepNext w:val="0"/>
        <w:spacing w:before="0" w:beforeAutospacing="0" w:after="0" w:afterAutospacing="0"/>
        <w:widowControl w:val="off"/>
        <w:rPr>
          <w:rFonts w:hint="eastAsia" w:ascii="黑体" w:hAnsi="宋体" w:eastAsia="黑体" w:cs="黑体"/>
          <w:b/>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w:t>
      </w:r>
      <w:r>
        <w:rPr>
          <w:rFonts w:hint="eastAsia" w:ascii="黑体" w:hAnsi="宋体" w:eastAsia="黑体" w:cs="黑体"/>
          <w:b/>
          <w:color w:val="auto"/>
          <w:sz w:val="32"/>
          <w:szCs w:val="32"/>
          <w:highlight w:val="none"/>
        </w:rPr>
        <w:t xml:space="preserve">关于符合本国产品标准的声明函（采购包号：**）</w:t>
      </w:r>
      <w:r/>
    </w:p>
    <w:p>
      <w:pPr>
        <w:pStyle w:val="1259"/>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5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125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125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1259"/>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1259"/>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1259"/>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1259"/>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1259"/>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spacing w:line="360" w:lineRule="auto"/>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1259"/>
        <w:jc w:val="both"/>
        <w:spacing w:beforeAutospacing="0" w:afterAutospacing="0" w:line="0" w:lineRule="atLeast"/>
        <w:rPr>
          <w:color w:val="auto"/>
          <w:highlight w:val="none"/>
        </w:rPr>
      </w:pPr>
      <w:r>
        <w:rPr>
          <w:color w:val="auto"/>
          <w:highlight w:val="none"/>
        </w:rPr>
        <w:t xml:space="preserve"> </w:t>
      </w:r>
      <w:r/>
    </w:p>
    <w:p>
      <w:pPr>
        <w:pStyle w:val="1259"/>
        <w:jc w:val="both"/>
        <w:spacing w:beforeAutospacing="0" w:afterAutospacing="0" w:line="0" w:lineRule="atLeast"/>
        <w:rPr>
          <w:color w:val="auto"/>
          <w:highlight w:val="none"/>
        </w:rPr>
      </w:pPr>
      <w:r>
        <w:rPr>
          <w:color w:val="auto"/>
          <w:highlight w:val="none"/>
        </w:rPr>
        <w:t xml:space="preserve"> </w:t>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both"/>
        <w:spacing w:beforeAutospacing="0" w:afterAutospacing="0" w:line="0" w:lineRule="atLeast"/>
        <w:rPr>
          <w:color w:val="auto"/>
          <w:highlight w:val="none"/>
        </w:rPr>
      </w:pPr>
      <w:r>
        <w:rPr>
          <w:color w:val="auto"/>
          <w:highlight w:val="none"/>
        </w:rPr>
      </w:r>
      <w:r/>
    </w:p>
    <w:p>
      <w:pPr>
        <w:pStyle w:val="1259"/>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1259"/>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tbl>
      <w:tblPr>
        <w:tblStyle w:val="1252"/>
        <w:tblW w:w="8578" w:type="dxa"/>
        <w:tblCellSpacing w:w="0" w:type="dxa"/>
        <w:tblInd w:w="146" w:type="dxa"/>
        <w:tblLayout w:type="fixed"/>
        <w:tblCellMar>
          <w:left w:w="108" w:type="dxa"/>
          <w:top w:w="0" w:type="dxa"/>
          <w:right w:w="108" w:type="dxa"/>
          <w:bottom w:w="0" w:type="dxa"/>
        </w:tblCellMar>
        <w:tblLook w:val="04A0" w:firstRow="1" w:lastRow="0" w:firstColumn="1" w:lastColumn="0" w:noHBand="0" w:noVBand="1"/>
      </w:tblPr>
      <w:tblGrid>
        <w:gridCol w:w="491"/>
        <w:gridCol w:w="915"/>
        <w:gridCol w:w="905"/>
        <w:gridCol w:w="1298"/>
        <w:gridCol w:w="746"/>
        <w:gridCol w:w="918"/>
        <w:gridCol w:w="696"/>
        <w:gridCol w:w="1261"/>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125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1259"/>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1259"/>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78" w:type="dxa"/>
            <w:vAlign w:val="center"/>
            <w:textDirection w:val="lrTb"/>
            <w:noWrap w:val="false"/>
          </w:tcPr>
          <w:p>
            <w:pPr>
              <w:pStyle w:val="1259"/>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125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1259"/>
        <w:numPr>
          <w:ilvl w:val="0"/>
          <w:numId w:val="1"/>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259"/>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59"/>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r>
      <w:r>
        <w:rPr>
          <w:rFonts w:ascii="SimSun" w:hAnsi="SimSun" w:eastAsia="SimSun" w:cs="SimSun"/>
          <w:color w:val="000000"/>
          <w:sz w:val="21"/>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eastAsia="宋体" w:cs="宋体"/>
          <w:color w:val="auto"/>
          <w:highlight w:val="none"/>
          <w:shd w:val="clear" w:color="auto" w:fill="auto"/>
        </w:rPr>
      </w:r>
      <w:r/>
    </w:p>
    <w:p>
      <w:pPr>
        <w:pStyle w:val="125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rPr>
          <w:color w:val="auto"/>
          <w:highlight w:val="none"/>
        </w:rPr>
      </w:r>
      <w:r/>
    </w:p>
    <w:p>
      <w:pPr>
        <w:pStyle w:val="1259"/>
        <w:jc w:val="both"/>
        <w:spacing w:beforeAutospacing="0" w:afterAutospacing="0"/>
        <w:rPr>
          <w:color w:val="auto"/>
          <w:highlight w:val="none"/>
        </w:rPr>
      </w:pPr>
      <w:r>
        <w:rPr>
          <w:color w:val="auto"/>
          <w:highlight w:val="none"/>
        </w:rPr>
      </w:r>
      <w:r>
        <w:rPr>
          <w:color w:val="auto"/>
          <w:highlight w:val="none"/>
        </w:rPr>
      </w:r>
      <w:r/>
    </w:p>
    <w:p>
      <w:pPr>
        <w:pStyle w:val="1259"/>
        <w:jc w:val="both"/>
        <w:spacing w:beforeAutospacing="0" w:afterAutospacing="0"/>
        <w:rPr>
          <w:color w:val="auto"/>
          <w:highlight w:val="none"/>
        </w:rPr>
      </w:pPr>
      <w:r>
        <w:rPr>
          <w:color w:val="auto"/>
          <w:highlight w:val="none"/>
        </w:rPr>
      </w: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125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bl>
    <w:p>
      <w:pPr>
        <w:pStyle w:val="125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bookmarkStart w:id="183"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1252"/>
        <w:tblW w:w="986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998"/>
        <w:gridCol w:w="169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bookmarkStart w:id="184" w:name="_Hlt26671372"/>
            <w:r/>
            <w:bookmarkStart w:id="185" w:name="_Hlt26580838"/>
            <w:r/>
            <w:bookmarkStart w:id="186" w:name="_Hlt26782999"/>
            <w:r/>
            <w:bookmarkStart w:id="187" w:name="_Hlt26609391"/>
            <w:r/>
            <w:bookmarkStart w:id="188" w:name="_Hlt26955064"/>
            <w:r/>
            <w:bookmarkStart w:id="189" w:name="_Hlt26955056"/>
            <w:r/>
            <w:bookmarkStart w:id="190" w:name="_Hlt24879081"/>
            <w:r/>
            <w:bookmarkStart w:id="191" w:name="_Hlt26671343"/>
            <w:r>
              <w:rPr>
                <w:rFonts w:hint="eastAsia" w:ascii="宋体" w:hAnsi="宋体" w:eastAsia="宋体" w:cs="宋体"/>
                <w:color w:val="auto"/>
                <w:highlight w:val="none"/>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59"/>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259"/>
              <w:jc w:val="center"/>
              <w:spacing w:beforeAutospacing="0" w:afterAutospacing="0"/>
              <w:rPr>
                <w:color w:val="auto"/>
                <w:highlight w:val="none"/>
              </w:rPr>
            </w:pPr>
            <w:r>
              <w:rPr>
                <w:color w:val="auto"/>
                <w:highlight w:val="none"/>
              </w:rPr>
              <w:t xml:space="preserve"> </w:t>
            </w:r>
            <w:r/>
          </w:p>
        </w:tc>
      </w:tr>
    </w:tbl>
    <w:p>
      <w:pPr>
        <w:pStyle w:val="1259"/>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259"/>
        <w:jc w:val="both"/>
        <w:spacing w:beforeAutospacing="0" w:afterAutospacing="0" w:line="480" w:lineRule="auto"/>
        <w:rPr>
          <w:color w:val="auto"/>
          <w:highlight w:val="none"/>
        </w:rPr>
      </w:pPr>
      <w:r>
        <w:rPr>
          <w:color w:val="auto"/>
          <w:highlight w:val="none"/>
        </w:rPr>
        <w:t xml:space="preserve"> </w:t>
      </w:r>
      <w:r/>
    </w:p>
    <w:p>
      <w:pPr>
        <w:pStyle w:val="1259"/>
        <w:jc w:val="both"/>
        <w:spacing w:beforeAutospacing="0" w:afterAutospacing="0" w:line="480" w:lineRule="auto"/>
        <w:rPr>
          <w:color w:val="auto"/>
          <w:highlight w:val="none"/>
        </w:rPr>
      </w:pPr>
      <w:r>
        <w:rPr>
          <w:color w:val="auto"/>
          <w:highlight w:val="none"/>
        </w:rPr>
        <w:t xml:space="preserve"> </w:t>
      </w:r>
      <w:r/>
    </w:p>
    <w:p>
      <w:pPr>
        <w:pStyle w:val="1259"/>
        <w:jc w:val="center"/>
        <w:spacing w:beforeAutospacing="0" w:afterAutospacing="0"/>
        <w:rPr>
          <w:color w:val="auto"/>
          <w:highlight w:val="none"/>
        </w:rPr>
      </w:pPr>
      <w:r/>
      <w:bookmarkStart w:id="192" w:name="_Hlt26671374"/>
      <w:r/>
      <w:bookmarkStart w:id="193" w:name="_Toc462564146"/>
      <w:r/>
      <w:bookmarkStart w:id="194" w:name="_格式2__法定代表人授权书"/>
      <w:r/>
      <w:bookmarkStart w:id="195" w:name="_Hlt26609389"/>
      <w:r/>
      <w:bookmarkStart w:id="196" w:name="_Hlt26955066"/>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rPr>
      </w:pPr>
      <w:r>
        <w:rPr>
          <w:color w:val="auto"/>
          <w:highlight w:val="none"/>
        </w:rPr>
        <w:t xml:space="preserve"> </w:t>
      </w:r>
      <w:r/>
    </w:p>
    <w:p>
      <w:pPr>
        <w:pStyle w:val="1259"/>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ind w:left="0" w:right="0" w:firstLine="0"/>
        <w:spacing w:before="240" w:after="240"/>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投标人全称（CA公章）：</w:t>
      </w:r>
      <w:r/>
    </w:p>
    <w:p>
      <w:pPr>
        <w:ind w:left="0" w:right="0" w:firstLine="0"/>
        <w:spacing w:before="240" w:after="240"/>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项目名称：</w:t>
      </w:r>
      <w:r>
        <w:rPr>
          <w:rFonts w:hint="eastAsia" w:asciiTheme="minorEastAsia" w:hAnsiTheme="minorEastAsia" w:eastAsiaTheme="minorEastAsia" w:cstheme="minorEastAsia"/>
          <w:color w:val="auto"/>
          <w:sz w:val="21"/>
          <w:szCs w:val="21"/>
          <w:highlight w:val="none"/>
          <w:lang w:val="en-US" w:eastAsia="zh-CN"/>
        </w:rPr>
        <w:t xml:space="preserve">盐城市公安局大数据支队新一代公安信息网安全访问项目</w:t>
      </w:r>
      <w:r/>
    </w:p>
    <w:p>
      <w:pPr>
        <w:ind w:left="0" w:right="0" w:firstLine="0"/>
        <w:spacing w:before="240" w:after="240"/>
        <w:rPr>
          <w:rFonts w:hint="eastAsia" w:eastAsia="宋体"/>
          <w:color w:val="auto"/>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项目编号：</w:t>
      </w:r>
      <w:r>
        <w:rPr>
          <w:rFonts w:hint="eastAsia" w:asciiTheme="minorEastAsia" w:hAnsiTheme="minorEastAsia" w:eastAsiaTheme="minorEastAsia" w:cstheme="minorEastAsia"/>
          <w:color w:val="auto"/>
          <w:sz w:val="21"/>
          <w:szCs w:val="21"/>
          <w:highlight w:val="none"/>
          <w:lang w:val="en-US" w:eastAsia="zh-CN"/>
        </w:rPr>
        <w:t xml:space="preserve">JSZC-320900-YCZH-G2026-001</w:t>
      </w:r>
      <w:r>
        <w:rPr>
          <w:rFonts w:hint="eastAsia" w:asciiTheme="minorEastAsia" w:hAnsiTheme="minorEastAsia" w:cstheme="minorEastAsia"/>
          <w:color w:val="auto"/>
          <w:sz w:val="21"/>
          <w:szCs w:val="21"/>
          <w:highlight w:val="none"/>
          <w:lang w:val="en-US" w:eastAsia="zh-CN"/>
        </w:rPr>
        <w:t xml:space="preserve">3</w:t>
      </w:r>
      <w:r/>
    </w:p>
    <w:p>
      <w:pPr>
        <w:ind w:left="0" w:right="0" w:firstLine="0"/>
        <w:spacing w:before="240" w:after="240"/>
        <w:rPr>
          <w:rFonts w:ascii="宋体" w:hAnsi="宋体" w:eastAsia="宋体" w:cs="宋体"/>
          <w:color w:val="auto"/>
          <w:sz w:val="21"/>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分包号：</w:t>
      </w:r>
      <w:r/>
    </w:p>
    <w:tbl>
      <w:tblPr>
        <w:tblStyle w:val="1260"/>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90"/>
        <w:gridCol w:w="535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总价（小写）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投标产品名称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元</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 </w:t>
            </w:r>
            <w:r/>
          </w:p>
        </w:tc>
      </w:tr>
    </w:tbl>
    <w:p>
      <w:pPr>
        <w:ind w:left="0" w:right="0" w:firstLine="0"/>
        <w:spacing w:before="240" w:after="240"/>
        <w:rPr>
          <w:color w:val="auto"/>
        </w:rPr>
        <w:pBdr>
          <w:top w:val="none" w:color="auto" w:sz="0" w:space="0"/>
          <w:left w:val="none" w:color="auto" w:sz="0" w:space="0"/>
          <w:bottom w:val="none" w:color="auto" w:sz="0" w:space="0"/>
          <w:right w:val="none" w:color="auto" w:sz="0" w:space="0"/>
        </w:pBdr>
      </w:pPr>
      <w:r>
        <w:rPr>
          <w:rFonts w:ascii="宋体" w:hAnsi="宋体" w:eastAsia="宋体" w:cs="宋体"/>
          <w:color w:val="auto"/>
          <w:sz w:val="21"/>
        </w:rPr>
        <w:t xml:space="preserve">  </w:t>
      </w:r>
      <w:r/>
    </w:p>
    <w:p>
      <w:pPr>
        <w:pStyle w:val="1259"/>
        <w:ind w:firstLine="480"/>
        <w:jc w:val="right"/>
        <w:spacing w:beforeAutospacing="0" w:afterAutospacing="0"/>
        <w:rPr>
          <w:color w:val="auto"/>
          <w:highlight w:val="none"/>
        </w:rPr>
      </w:pPr>
      <w:r/>
      <w:bookmarkStart w:id="197" w:name="_GoBack"/>
      <w:r/>
      <w:bookmarkEnd w:id="197"/>
      <w:r>
        <w:rPr>
          <w:rFonts w:ascii="宋体" w:hAnsi="宋体" w:eastAsia="宋体" w:cs="宋体"/>
          <w:color w:val="auto"/>
          <w:sz w:val="21"/>
        </w:rPr>
        <w:t xml:space="preserve">日期：    年  月  日</w:t>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t xml:space="preserve"> </w:t>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r>
      <w:r/>
    </w:p>
    <w:p>
      <w:pPr>
        <w:pStyle w:val="1259"/>
        <w:ind w:firstLine="480"/>
        <w:jc w:val="both"/>
        <w:spacing w:beforeAutospacing="0" w:afterAutospacing="0"/>
        <w:rPr>
          <w:color w:val="auto"/>
          <w:highlight w:val="none"/>
        </w:rPr>
      </w:pPr>
      <w:r>
        <w:rPr>
          <w:color w:val="auto"/>
          <w:highlight w:val="none"/>
        </w:rPr>
        <w:t xml:space="preserve"> </w:t>
      </w:r>
      <w:r/>
    </w:p>
    <w:p>
      <w:pPr>
        <w:pStyle w:val="1259"/>
        <w:jc w:val="both"/>
        <w:spacing w:beforeAutospacing="0" w:afterAutospacing="0"/>
        <w:rPr>
          <w:color w:val="auto"/>
          <w:highlight w:val="none"/>
          <w:shd w:val="clear" w:color="auto" w:fill="auto"/>
        </w:rPr>
      </w:pPr>
      <w:r>
        <w:rPr>
          <w:color w:val="auto"/>
          <w:highlight w:val="none"/>
          <w:shd w:val="clear" w:color="auto" w:fill="auto"/>
        </w:rPr>
      </w:r>
      <w:r/>
    </w:p>
    <w:p>
      <w:pPr>
        <w:pStyle w:val="125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1259"/>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125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both"/>
        <w:spacing w:before="50" w:after="50"/>
        <w:widowControl/>
        <w:rPr>
          <w:b/>
          <w:bCs/>
          <w:color w:val="auto"/>
          <w:highlight w:val="none"/>
        </w:rPr>
      </w:pPr>
      <w:r>
        <w:rPr>
          <w:b/>
          <w:bCs/>
          <w:color w:val="auto"/>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、技术方案、服务承诺、培训承诺等</w:t>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259"/>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b w:val="0"/>
          <w:bCs w:val="0"/>
          <w:color w:val="auto"/>
          <w:sz w:val="21"/>
          <w:szCs w:val="21"/>
          <w:highlight w:val="none"/>
          <w:lang w:eastAsia="zh-CN"/>
        </w:rPr>
        <w:t xml:space="preserve">虚假成分</w:t>
      </w:r>
      <w:r>
        <w:rPr>
          <w:rFonts w:hint="eastAsia" w:ascii="宋体" w:hAnsi="宋体" w:eastAsia="宋体" w:cs="宋体"/>
          <w:b w:val="0"/>
          <w:bCs w:val="0"/>
          <w:color w:val="auto"/>
          <w:sz w:val="21"/>
          <w:szCs w:val="21"/>
          <w:highlight w:val="none"/>
        </w:rPr>
        <w:t xml:space="preserve">，并对所提供资料的真实性负责；</w:t>
      </w:r>
      <w:r/>
    </w:p>
    <w:p>
      <w:pPr>
        <w:ind w:firstLine="480"/>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（三）严格依照国家和省、市关于政府采购的法律、法规、规章、规范性文件，参加政府采购投标活动；积极履行社会责任，促进廉政建设； </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（四）严格遵守即时信息公示规定，及时</w:t>
      </w:r>
      <w:r>
        <w:rPr>
          <w:rFonts w:hint="eastAsia" w:ascii="宋体" w:hAnsi="宋体" w:eastAsia="宋体" w:cs="宋体"/>
          <w:b w:val="0"/>
          <w:bCs w:val="0"/>
          <w:color w:val="auto"/>
          <w:sz w:val="21"/>
          <w:szCs w:val="21"/>
          <w:highlight w:val="none"/>
          <w:lang w:eastAsia="zh-CN"/>
        </w:rPr>
        <w:t xml:space="preserve">维护和更新</w:t>
      </w:r>
      <w:r>
        <w:rPr>
          <w:rFonts w:hint="eastAsia" w:ascii="宋体" w:hAnsi="宋体" w:eastAsia="宋体" w:cs="宋体"/>
          <w:b w:val="0"/>
          <w:bCs w:val="0"/>
          <w:color w:val="auto"/>
          <w:sz w:val="21"/>
          <w:szCs w:val="21"/>
          <w:highlight w:val="none"/>
        </w:rPr>
        <w:t xml:space="preserve">盐城市政府采购网中与本单位相关的信息；</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（六）自觉接受政府、行业组织、社会公众、新闻舆论的监督；</w:t>
      </w:r>
      <w:r/>
    </w:p>
    <w:p>
      <w:pPr>
        <w:ind w:firstLine="480"/>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（八）本人已认真阅读了上述承诺，并向本单位员工作了宣传教育。</w:t>
      </w:r>
      <w:r/>
    </w:p>
    <w:p>
      <w:pPr>
        <w:jc w:val="left"/>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法定代表人签名：</w:t>
      </w:r>
      <w:r/>
    </w:p>
    <w:p>
      <w:pPr>
        <w:jc w:val="center"/>
        <w:spacing w:line="360" w:lineRule="auto"/>
        <w:widowControl/>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单位名称（盖章）：</w:t>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年月日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项目建设供应商承诺函</w:t>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对未列出的其他事项，严格按照法律法规等具体规定执行。</w:t>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现承诺，我单位在履行</w:t>
      </w:r>
      <w:r>
        <w:rPr>
          <w:rFonts w:hint="eastAsia" w:ascii="宋体" w:hAnsi="宋体" w:eastAsia="宋体" w:cs="宋体"/>
          <w:color w:val="auto"/>
          <w:szCs w:val="21"/>
          <w:highlight w:val="none"/>
          <w:u w:val="single"/>
        </w:rPr>
        <w:t xml:space="preserve">  盐城市公安局大数据支队新一代公安信息网安全访问项目   </w:t>
      </w:r>
      <w:r>
        <w:rPr>
          <w:rFonts w:hint="eastAsia" w:ascii="宋体" w:hAnsi="宋体" w:eastAsia="宋体" w:cs="宋体"/>
          <w:color w:val="auto"/>
          <w:szCs w:val="21"/>
          <w:highlight w:val="none"/>
        </w:rPr>
        <w:t xml:space="preserve">的项目建设中，将严格按照提示函的内容和要求执行，如若违反愿意承担相应的责任。</w:t>
      </w:r>
      <w:r/>
    </w:p>
    <w:p>
      <w:pPr>
        <w:spacing w:line="48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供应商项目负责人（签字）：            联系方式：</w:t>
      </w:r>
      <w:r/>
    </w:p>
    <w:p>
      <w:pPr>
        <w:pStyle w:val="1254"/>
        <w:rPr>
          <w:color w:val="auto"/>
          <w:highlight w:val="none"/>
        </w:rPr>
      </w:pPr>
      <w:r>
        <w:rPr>
          <w:color w:val="auto"/>
          <w:highlight w:val="none"/>
        </w:rPr>
      </w:r>
      <w:r/>
    </w:p>
    <w:p>
      <w:pPr>
        <w:pStyle w:val="1259"/>
        <w:jc w:val="center"/>
        <w:spacing w:beforeAutospacing="0" w:afterAutospacing="0"/>
        <w:rPr>
          <w:color w:val="auto"/>
          <w:highlight w:val="none"/>
        </w:rPr>
      </w:pPr>
      <w:r>
        <w:rPr>
          <w:color w:val="auto"/>
          <w:highlight w:val="none"/>
        </w:rPr>
      </w:r>
      <w:bookmarkEnd w:id="6"/>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5"/>
      <w:r/>
      <w:bookmarkEnd w:id="173"/>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25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1259"/>
        <w:ind w:firstLine="197"/>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1259"/>
        <w:ind w:firstLine="197"/>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1259"/>
        <w:ind w:firstLine="198"/>
        <w:jc w:val="both"/>
        <w:keepLines w:val="0"/>
        <w:keepNext w:val="0"/>
        <w:pageBreakBefore w:val="0"/>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1259"/>
        <w:ind w:firstLine="197"/>
        <w:keepLines w:val="0"/>
        <w:keepNext w:val="0"/>
        <w:pageBreakBefore w:val="0"/>
        <w:spacing w:beforeAutospacing="0" w:afterAutospacing="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259"/>
        <w:spacing w:beforeAutospacing="0" w:afterAutospacing="0"/>
        <w:rPr>
          <w:color w:val="auto"/>
          <w:highlight w:val="none"/>
        </w:rPr>
      </w:pPr>
      <w:r>
        <w:rPr>
          <w:color w:val="auto"/>
          <w:highlight w:val="none"/>
        </w:rPr>
      </w:r>
      <w:r/>
    </w:p>
    <w:sectPr>
      <w:headerReference w:type="even" r:id="rId9"/>
      <w:headerReference w:type="first" r:id="rId10"/>
      <w:footerReference w:type="default" r:id="rId11"/>
      <w:footnotePr/>
      <w:endnotePr/>
      <w:type w:val="nextPage"/>
      <w:pgSz w:w="11906" w:h="16838" w:orient="portrait"/>
      <w:pgMar w:top="1440" w:right="1066" w:bottom="1440" w:left="96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12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54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643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745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848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950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7052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23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33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43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新一代公安信息网安全访问项目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5">
    <w:name w:val="Heading 1"/>
    <w:basedOn w:val="1248"/>
    <w:next w:val="1248"/>
    <w:link w:val="1076"/>
    <w:uiPriority w:val="9"/>
    <w:qFormat/>
    <w:pPr>
      <w:keepLines/>
      <w:keepNext/>
      <w:spacing w:before="480" w:after="200"/>
      <w:outlineLvl w:val="0"/>
    </w:pPr>
    <w:rPr>
      <w:rFonts w:ascii="Arial" w:hAnsi="Arial" w:eastAsia="Arial" w:cs="Arial"/>
      <w:sz w:val="40"/>
      <w:szCs w:val="40"/>
    </w:rPr>
  </w:style>
  <w:style w:type="character" w:styleId="1076">
    <w:name w:val="Heading 1 Char"/>
    <w:basedOn w:val="1251"/>
    <w:link w:val="1075"/>
    <w:uiPriority w:val="9"/>
    <w:rPr>
      <w:rFonts w:ascii="Arial" w:hAnsi="Arial" w:eastAsia="Arial" w:cs="Arial"/>
      <w:sz w:val="40"/>
      <w:szCs w:val="40"/>
    </w:rPr>
  </w:style>
  <w:style w:type="character" w:styleId="1077">
    <w:name w:val="Heading 2 Char"/>
    <w:basedOn w:val="1251"/>
    <w:link w:val="1249"/>
    <w:uiPriority w:val="9"/>
    <w:rPr>
      <w:rFonts w:ascii="Arial" w:hAnsi="Arial" w:eastAsia="Arial" w:cs="Arial"/>
      <w:sz w:val="34"/>
    </w:rPr>
  </w:style>
  <w:style w:type="character" w:styleId="1078">
    <w:name w:val="Heading 3 Char"/>
    <w:basedOn w:val="1251"/>
    <w:link w:val="1250"/>
    <w:uiPriority w:val="9"/>
    <w:rPr>
      <w:rFonts w:ascii="Arial" w:hAnsi="Arial" w:eastAsia="Arial" w:cs="Arial"/>
      <w:sz w:val="30"/>
      <w:szCs w:val="30"/>
    </w:rPr>
  </w:style>
  <w:style w:type="paragraph" w:styleId="1079">
    <w:name w:val="Heading 4"/>
    <w:basedOn w:val="1248"/>
    <w:next w:val="1248"/>
    <w:link w:val="1080"/>
    <w:uiPriority w:val="9"/>
    <w:unhideWhenUsed/>
    <w:qFormat/>
    <w:pPr>
      <w:keepLines/>
      <w:keepNext/>
      <w:spacing w:before="320" w:after="200"/>
      <w:outlineLvl w:val="3"/>
    </w:pPr>
    <w:rPr>
      <w:rFonts w:ascii="Arial" w:hAnsi="Arial" w:eastAsia="Arial" w:cs="Arial"/>
      <w:b/>
      <w:bCs/>
      <w:sz w:val="26"/>
      <w:szCs w:val="26"/>
    </w:rPr>
  </w:style>
  <w:style w:type="character" w:styleId="1080">
    <w:name w:val="Heading 4 Char"/>
    <w:basedOn w:val="1251"/>
    <w:link w:val="1079"/>
    <w:uiPriority w:val="9"/>
    <w:rPr>
      <w:rFonts w:ascii="Arial" w:hAnsi="Arial" w:eastAsia="Arial" w:cs="Arial"/>
      <w:b/>
      <w:bCs/>
      <w:sz w:val="26"/>
      <w:szCs w:val="26"/>
    </w:rPr>
  </w:style>
  <w:style w:type="paragraph" w:styleId="1081">
    <w:name w:val="Heading 5"/>
    <w:basedOn w:val="1248"/>
    <w:next w:val="1248"/>
    <w:link w:val="1082"/>
    <w:uiPriority w:val="9"/>
    <w:unhideWhenUsed/>
    <w:qFormat/>
    <w:pPr>
      <w:keepLines/>
      <w:keepNext/>
      <w:spacing w:before="320" w:after="200"/>
      <w:outlineLvl w:val="4"/>
    </w:pPr>
    <w:rPr>
      <w:rFonts w:ascii="Arial" w:hAnsi="Arial" w:eastAsia="Arial" w:cs="Arial"/>
      <w:b/>
      <w:bCs/>
      <w:sz w:val="24"/>
      <w:szCs w:val="24"/>
    </w:rPr>
  </w:style>
  <w:style w:type="character" w:styleId="1082">
    <w:name w:val="Heading 5 Char"/>
    <w:basedOn w:val="1251"/>
    <w:link w:val="1081"/>
    <w:uiPriority w:val="9"/>
    <w:rPr>
      <w:rFonts w:ascii="Arial" w:hAnsi="Arial" w:eastAsia="Arial" w:cs="Arial"/>
      <w:b/>
      <w:bCs/>
      <w:sz w:val="24"/>
      <w:szCs w:val="24"/>
    </w:rPr>
  </w:style>
  <w:style w:type="paragraph" w:styleId="1083">
    <w:name w:val="Heading 6"/>
    <w:basedOn w:val="1248"/>
    <w:next w:val="1248"/>
    <w:link w:val="1084"/>
    <w:uiPriority w:val="9"/>
    <w:unhideWhenUsed/>
    <w:qFormat/>
    <w:pPr>
      <w:keepLines/>
      <w:keepNext/>
      <w:spacing w:before="320" w:after="200"/>
      <w:outlineLvl w:val="5"/>
    </w:pPr>
    <w:rPr>
      <w:rFonts w:ascii="Arial" w:hAnsi="Arial" w:eastAsia="Arial" w:cs="Arial"/>
      <w:b/>
      <w:bCs/>
      <w:sz w:val="22"/>
      <w:szCs w:val="22"/>
    </w:rPr>
  </w:style>
  <w:style w:type="character" w:styleId="1084">
    <w:name w:val="Heading 6 Char"/>
    <w:basedOn w:val="1251"/>
    <w:link w:val="1083"/>
    <w:uiPriority w:val="9"/>
    <w:rPr>
      <w:rFonts w:ascii="Arial" w:hAnsi="Arial" w:eastAsia="Arial" w:cs="Arial"/>
      <w:b/>
      <w:bCs/>
      <w:sz w:val="22"/>
      <w:szCs w:val="22"/>
    </w:rPr>
  </w:style>
  <w:style w:type="paragraph" w:styleId="1085">
    <w:name w:val="Heading 7"/>
    <w:basedOn w:val="1248"/>
    <w:next w:val="1248"/>
    <w:link w:val="1086"/>
    <w:uiPriority w:val="9"/>
    <w:unhideWhenUsed/>
    <w:qFormat/>
    <w:pPr>
      <w:keepLines/>
      <w:keepNext/>
      <w:spacing w:before="320" w:after="200"/>
      <w:outlineLvl w:val="6"/>
    </w:pPr>
    <w:rPr>
      <w:rFonts w:ascii="Arial" w:hAnsi="Arial" w:eastAsia="Arial" w:cs="Arial"/>
      <w:b/>
      <w:bCs/>
      <w:i/>
      <w:iCs/>
      <w:sz w:val="22"/>
      <w:szCs w:val="22"/>
    </w:rPr>
  </w:style>
  <w:style w:type="character" w:styleId="1086">
    <w:name w:val="Heading 7 Char"/>
    <w:basedOn w:val="1251"/>
    <w:link w:val="1085"/>
    <w:uiPriority w:val="9"/>
    <w:rPr>
      <w:rFonts w:ascii="Arial" w:hAnsi="Arial" w:eastAsia="Arial" w:cs="Arial"/>
      <w:b/>
      <w:bCs/>
      <w:i/>
      <w:iCs/>
      <w:sz w:val="22"/>
      <w:szCs w:val="22"/>
    </w:rPr>
  </w:style>
  <w:style w:type="paragraph" w:styleId="1087">
    <w:name w:val="Heading 8"/>
    <w:basedOn w:val="1248"/>
    <w:next w:val="1248"/>
    <w:link w:val="1088"/>
    <w:uiPriority w:val="9"/>
    <w:unhideWhenUsed/>
    <w:qFormat/>
    <w:pPr>
      <w:keepLines/>
      <w:keepNext/>
      <w:spacing w:before="320" w:after="200"/>
      <w:outlineLvl w:val="7"/>
    </w:pPr>
    <w:rPr>
      <w:rFonts w:ascii="Arial" w:hAnsi="Arial" w:eastAsia="Arial" w:cs="Arial"/>
      <w:i/>
      <w:iCs/>
      <w:sz w:val="22"/>
      <w:szCs w:val="22"/>
    </w:rPr>
  </w:style>
  <w:style w:type="character" w:styleId="1088">
    <w:name w:val="Heading 8 Char"/>
    <w:basedOn w:val="1251"/>
    <w:link w:val="1087"/>
    <w:uiPriority w:val="9"/>
    <w:rPr>
      <w:rFonts w:ascii="Arial" w:hAnsi="Arial" w:eastAsia="Arial" w:cs="Arial"/>
      <w:i/>
      <w:iCs/>
      <w:sz w:val="22"/>
      <w:szCs w:val="22"/>
    </w:rPr>
  </w:style>
  <w:style w:type="paragraph" w:styleId="1089">
    <w:name w:val="Heading 9"/>
    <w:basedOn w:val="1248"/>
    <w:next w:val="1248"/>
    <w:link w:val="1090"/>
    <w:uiPriority w:val="9"/>
    <w:unhideWhenUsed/>
    <w:qFormat/>
    <w:pPr>
      <w:keepLines/>
      <w:keepNext/>
      <w:spacing w:before="320" w:after="200"/>
      <w:outlineLvl w:val="8"/>
    </w:pPr>
    <w:rPr>
      <w:rFonts w:ascii="Arial" w:hAnsi="Arial" w:eastAsia="Arial" w:cs="Arial"/>
      <w:i/>
      <w:iCs/>
      <w:sz w:val="21"/>
      <w:szCs w:val="21"/>
    </w:rPr>
  </w:style>
  <w:style w:type="character" w:styleId="1090">
    <w:name w:val="Heading 9 Char"/>
    <w:basedOn w:val="1251"/>
    <w:link w:val="1089"/>
    <w:uiPriority w:val="9"/>
    <w:rPr>
      <w:rFonts w:ascii="Arial" w:hAnsi="Arial" w:eastAsia="Arial" w:cs="Arial"/>
      <w:i/>
      <w:iCs/>
      <w:sz w:val="21"/>
      <w:szCs w:val="21"/>
    </w:rPr>
  </w:style>
  <w:style w:type="paragraph" w:styleId="1091">
    <w:name w:val="List Paragraph"/>
    <w:basedOn w:val="1248"/>
    <w:uiPriority w:val="34"/>
    <w:qFormat/>
    <w:pPr>
      <w:contextualSpacing/>
      <w:ind w:left="720"/>
    </w:pPr>
  </w:style>
  <w:style w:type="paragraph" w:styleId="1092">
    <w:name w:val="No Spacing"/>
    <w:uiPriority w:val="1"/>
    <w:qFormat/>
    <w:pPr>
      <w:spacing w:before="0" w:after="0" w:line="240" w:lineRule="auto"/>
    </w:pPr>
  </w:style>
  <w:style w:type="paragraph" w:styleId="1093">
    <w:name w:val="Title"/>
    <w:basedOn w:val="1248"/>
    <w:next w:val="1248"/>
    <w:link w:val="1094"/>
    <w:uiPriority w:val="10"/>
    <w:qFormat/>
    <w:pPr>
      <w:contextualSpacing/>
      <w:spacing w:before="300" w:after="200"/>
    </w:pPr>
    <w:rPr>
      <w:sz w:val="48"/>
      <w:szCs w:val="48"/>
    </w:rPr>
  </w:style>
  <w:style w:type="character" w:styleId="1094">
    <w:name w:val="Title Char"/>
    <w:basedOn w:val="1251"/>
    <w:link w:val="1093"/>
    <w:uiPriority w:val="10"/>
    <w:rPr>
      <w:sz w:val="48"/>
      <w:szCs w:val="48"/>
    </w:rPr>
  </w:style>
  <w:style w:type="paragraph" w:styleId="1095">
    <w:name w:val="Subtitle"/>
    <w:basedOn w:val="1248"/>
    <w:next w:val="1248"/>
    <w:link w:val="1096"/>
    <w:uiPriority w:val="11"/>
    <w:qFormat/>
    <w:pPr>
      <w:spacing w:before="200" w:after="200"/>
    </w:pPr>
    <w:rPr>
      <w:sz w:val="24"/>
      <w:szCs w:val="24"/>
    </w:rPr>
  </w:style>
  <w:style w:type="character" w:styleId="1096">
    <w:name w:val="Subtitle Char"/>
    <w:basedOn w:val="1251"/>
    <w:link w:val="1095"/>
    <w:uiPriority w:val="11"/>
    <w:rPr>
      <w:sz w:val="24"/>
      <w:szCs w:val="24"/>
    </w:rPr>
  </w:style>
  <w:style w:type="paragraph" w:styleId="1097">
    <w:name w:val="Quote"/>
    <w:basedOn w:val="1248"/>
    <w:next w:val="1248"/>
    <w:link w:val="1098"/>
    <w:uiPriority w:val="29"/>
    <w:qFormat/>
    <w:pPr>
      <w:ind w:left="720" w:right="720"/>
    </w:pPr>
    <w:rPr>
      <w:i/>
    </w:rPr>
  </w:style>
  <w:style w:type="character" w:styleId="1098">
    <w:name w:val="Quote Char"/>
    <w:link w:val="1097"/>
    <w:uiPriority w:val="29"/>
    <w:rPr>
      <w:i/>
    </w:rPr>
  </w:style>
  <w:style w:type="paragraph" w:styleId="1099">
    <w:name w:val="Intense Quote"/>
    <w:basedOn w:val="1248"/>
    <w:next w:val="1248"/>
    <w:link w:val="11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0">
    <w:name w:val="Intense Quote Char"/>
    <w:link w:val="1099"/>
    <w:uiPriority w:val="30"/>
    <w:rPr>
      <w:i/>
    </w:rPr>
  </w:style>
  <w:style w:type="character" w:styleId="1101">
    <w:name w:val="Header Char"/>
    <w:basedOn w:val="1251"/>
    <w:link w:val="1257"/>
    <w:uiPriority w:val="99"/>
  </w:style>
  <w:style w:type="character" w:styleId="1102">
    <w:name w:val="Footer Char"/>
    <w:basedOn w:val="1251"/>
    <w:link w:val="1256"/>
    <w:uiPriority w:val="99"/>
  </w:style>
  <w:style w:type="paragraph" w:styleId="1103">
    <w:name w:val="Caption"/>
    <w:basedOn w:val="1248"/>
    <w:next w:val="1248"/>
    <w:uiPriority w:val="35"/>
    <w:semiHidden/>
    <w:unhideWhenUsed/>
    <w:qFormat/>
    <w:pPr>
      <w:spacing w:line="276" w:lineRule="auto"/>
    </w:pPr>
    <w:rPr>
      <w:b/>
      <w:bCs/>
      <w:color w:val="4f81bd" w:themeColor="accent1"/>
      <w:sz w:val="18"/>
      <w:szCs w:val="18"/>
    </w:rPr>
  </w:style>
  <w:style w:type="character" w:styleId="1104">
    <w:name w:val="Caption Char"/>
    <w:basedOn w:val="1103"/>
    <w:link w:val="1256"/>
    <w:uiPriority w:val="99"/>
  </w:style>
  <w:style w:type="table" w:styleId="1105">
    <w:name w:val="Table Grid Light"/>
    <w:basedOn w:val="12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6">
    <w:name w:val="Plain Table 1"/>
    <w:basedOn w:val="12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name w:val="Plain Table 2"/>
    <w:basedOn w:val="12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name w:val="Plain Table 3"/>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name w:val="Plain Table 4"/>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name w:val="Plain Table 5"/>
    <w:basedOn w:val="12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1">
    <w:name w:val="Grid Table 1 Light"/>
    <w:basedOn w:val="12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2">
    <w:name w:val="Grid Table 1 Light - Accent 1"/>
    <w:basedOn w:val="12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3">
    <w:name w:val="Grid Table 1 Light - Accent 2"/>
    <w:basedOn w:val="12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4">
    <w:name w:val="Grid Table 1 Light - Accent 3"/>
    <w:basedOn w:val="12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15">
    <w:name w:val="Grid Table 1 Light - Accent 4"/>
    <w:basedOn w:val="12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6">
    <w:name w:val="Grid Table 1 Light - Accent 5"/>
    <w:basedOn w:val="12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7">
    <w:name w:val="Grid Table 1 Light - Accent 6"/>
    <w:basedOn w:val="12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8">
    <w:name w:val="Grid Table 2"/>
    <w:basedOn w:val="12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9">
    <w:name w:val="Grid Table 2 - Accent 1"/>
    <w:basedOn w:val="12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0">
    <w:name w:val="Grid Table 2 - Accent 2"/>
    <w:basedOn w:val="12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1">
    <w:name w:val="Grid Table 2 - Accent 3"/>
    <w:basedOn w:val="12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2">
    <w:name w:val="Grid Table 2 - Accent 4"/>
    <w:basedOn w:val="12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3">
    <w:name w:val="Grid Table 2 - Accent 5"/>
    <w:basedOn w:val="12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4">
    <w:name w:val="Grid Table 2 - Accent 6"/>
    <w:basedOn w:val="12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25">
    <w:name w:val="Grid Table 3"/>
    <w:basedOn w:val="12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6">
    <w:name w:val="Grid Table 3 - Accent 1"/>
    <w:basedOn w:val="12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7">
    <w:name w:val="Grid Table 3 - Accent 2"/>
    <w:basedOn w:val="12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8">
    <w:name w:val="Grid Table 3 - Accent 3"/>
    <w:basedOn w:val="12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9">
    <w:name w:val="Grid Table 3 - Accent 4"/>
    <w:basedOn w:val="12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0">
    <w:name w:val="Grid Table 3 - Accent 5"/>
    <w:basedOn w:val="12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3 - Accent 6"/>
    <w:basedOn w:val="12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4"/>
    <w:basedOn w:val="12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3">
    <w:name w:val="Grid Table 4 - Accent 1"/>
    <w:basedOn w:val="12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4">
    <w:name w:val="Grid Table 4 - Accent 2"/>
    <w:basedOn w:val="12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35">
    <w:name w:val="Grid Table 4 - Accent 3"/>
    <w:basedOn w:val="12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6">
    <w:name w:val="Grid Table 4 - Accent 4"/>
    <w:basedOn w:val="12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7">
    <w:name w:val="Grid Table 4 - Accent 5"/>
    <w:basedOn w:val="12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8">
    <w:name w:val="Grid Table 4 - Accent 6"/>
    <w:basedOn w:val="12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9">
    <w:name w:val="Grid Table 5 Dark"/>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0">
    <w:name w:val="Grid Table 5 Dark- Accent 1"/>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41">
    <w:name w:val="Grid Table 5 Dark - Accent 2"/>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42">
    <w:name w:val="Grid Table 5 Dark - Accent 3"/>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43">
    <w:name w:val="Grid Table 5 Dark- Accent 4"/>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44">
    <w:name w:val="Grid Table 5 Dark - Accent 5"/>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45">
    <w:name w:val="Grid Table 5 Dark - Accent 6"/>
    <w:basedOn w:val="12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46">
    <w:name w:val="Grid Table 6 Colorful"/>
    <w:basedOn w:val="12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7">
    <w:name w:val="Grid Table 6 Colorful - Accent 1"/>
    <w:basedOn w:val="12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48">
    <w:name w:val="Grid Table 6 Colorful - Accent 2"/>
    <w:basedOn w:val="12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49">
    <w:name w:val="Grid Table 6 Colorful - Accent 3"/>
    <w:basedOn w:val="12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50">
    <w:name w:val="Grid Table 6 Colorful - Accent 4"/>
    <w:basedOn w:val="12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51">
    <w:name w:val="Grid Table 6 Colorful - Accent 5"/>
    <w:basedOn w:val="12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2">
    <w:name w:val="Grid Table 6 Colorful - Accent 6"/>
    <w:basedOn w:val="12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3">
    <w:name w:val="Grid Table 7 Colorful"/>
    <w:basedOn w:val="12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4">
    <w:name w:val="Grid Table 7 Colorful - Accent 1"/>
    <w:basedOn w:val="12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55">
    <w:name w:val="Grid Table 7 Colorful - Accent 2"/>
    <w:basedOn w:val="12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6">
    <w:name w:val="Grid Table 7 Colorful - Accent 3"/>
    <w:basedOn w:val="12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7">
    <w:name w:val="Grid Table 7 Colorful - Accent 4"/>
    <w:basedOn w:val="12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8">
    <w:name w:val="Grid Table 7 Colorful - Accent 5"/>
    <w:basedOn w:val="12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9">
    <w:name w:val="Grid Table 7 Colorful - Accent 6"/>
    <w:basedOn w:val="12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0">
    <w:name w:val="List Table 1 Light"/>
    <w:basedOn w:val="12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name w:val="List Table 1 Light - Accent 1"/>
    <w:basedOn w:val="12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2">
    <w:name w:val="List Table 1 Light - Accent 2"/>
    <w:basedOn w:val="12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3">
    <w:name w:val="List Table 1 Light - Accent 3"/>
    <w:basedOn w:val="12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4">
    <w:name w:val="List Table 1 Light - Accent 4"/>
    <w:basedOn w:val="12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65">
    <w:name w:val="List Table 1 Light - Accent 5"/>
    <w:basedOn w:val="12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6">
    <w:name w:val="List Table 1 Light - Accent 6"/>
    <w:basedOn w:val="12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7">
    <w:name w:val="List Table 2"/>
    <w:basedOn w:val="12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8">
    <w:name w:val="List Table 2 - Accent 1"/>
    <w:basedOn w:val="12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9">
    <w:name w:val="List Table 2 - Accent 2"/>
    <w:basedOn w:val="12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0">
    <w:name w:val="List Table 2 - Accent 3"/>
    <w:basedOn w:val="12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1">
    <w:name w:val="List Table 2 - Accent 4"/>
    <w:basedOn w:val="12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2">
    <w:name w:val="List Table 2 - Accent 5"/>
    <w:basedOn w:val="12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3">
    <w:name w:val="List Table 2 - Accent 6"/>
    <w:basedOn w:val="12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4">
    <w:name w:val="List Table 3"/>
    <w:basedOn w:val="12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3 - Accent 1"/>
    <w:basedOn w:val="12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76">
    <w:name w:val="List Table 3 - Accent 2"/>
    <w:basedOn w:val="12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77">
    <w:name w:val="List Table 3 - Accent 3"/>
    <w:basedOn w:val="12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78">
    <w:name w:val="List Table 3 - Accent 4"/>
    <w:basedOn w:val="12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79">
    <w:name w:val="List Table 3 - Accent 5"/>
    <w:basedOn w:val="12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80">
    <w:name w:val="List Table 3 - Accent 6"/>
    <w:basedOn w:val="12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81">
    <w:name w:val="List Table 4"/>
    <w:basedOn w:val="12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2">
    <w:name w:val="List Table 4 - Accent 1"/>
    <w:basedOn w:val="12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83">
    <w:name w:val="List Table 4 - Accent 2"/>
    <w:basedOn w:val="12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84">
    <w:name w:val="List Table 4 - Accent 3"/>
    <w:basedOn w:val="12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85">
    <w:name w:val="List Table 4 - Accent 4"/>
    <w:basedOn w:val="12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86">
    <w:name w:val="List Table 4 - Accent 5"/>
    <w:basedOn w:val="12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87">
    <w:name w:val="List Table 4 - Accent 6"/>
    <w:basedOn w:val="12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88">
    <w:name w:val="List Table 5 Dark"/>
    <w:basedOn w:val="12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9">
    <w:name w:val="List Table 5 Dark - Accent 1"/>
    <w:basedOn w:val="12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0">
    <w:name w:val="List Table 5 Dark - Accent 2"/>
    <w:basedOn w:val="12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1">
    <w:name w:val="List Table 5 Dark - Accent 3"/>
    <w:basedOn w:val="12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2">
    <w:name w:val="List Table 5 Dark - Accent 4"/>
    <w:basedOn w:val="12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5 Dark - Accent 5"/>
    <w:basedOn w:val="12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4">
    <w:name w:val="List Table 5 Dark - Accent 6"/>
    <w:basedOn w:val="12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5">
    <w:name w:val="List Table 6 Colorful"/>
    <w:basedOn w:val="12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6">
    <w:name w:val="List Table 6 Colorful - Accent 1"/>
    <w:basedOn w:val="12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97">
    <w:name w:val="List Table 6 Colorful - Accent 2"/>
    <w:basedOn w:val="12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98">
    <w:name w:val="List Table 6 Colorful - Accent 3"/>
    <w:basedOn w:val="12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99">
    <w:name w:val="List Table 6 Colorful - Accent 4"/>
    <w:basedOn w:val="12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00">
    <w:name w:val="List Table 6 Colorful - Accent 5"/>
    <w:basedOn w:val="12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01">
    <w:name w:val="List Table 6 Colorful - Accent 6"/>
    <w:basedOn w:val="12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02">
    <w:name w:val="List Table 7 Colorful"/>
    <w:basedOn w:val="12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3">
    <w:name w:val="List Table 7 Colorful - Accent 1"/>
    <w:basedOn w:val="12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04">
    <w:name w:val="List Table 7 Colorful - Accent 2"/>
    <w:basedOn w:val="12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05">
    <w:name w:val="List Table 7 Colorful - Accent 3"/>
    <w:basedOn w:val="12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06">
    <w:name w:val="List Table 7 Colorful - Accent 4"/>
    <w:basedOn w:val="12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07">
    <w:name w:val="List Table 7 Colorful - Accent 5"/>
    <w:basedOn w:val="12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08">
    <w:name w:val="List Table 7 Colorful - Accent 6"/>
    <w:basedOn w:val="12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09">
    <w:name w:val="Lined - Accent"/>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Lined - Accent 1"/>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1">
    <w:name w:val="Lined - Accent 2"/>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12">
    <w:name w:val="Lined - Accent 3"/>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13">
    <w:name w:val="Lined - Accent 4"/>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14">
    <w:name w:val="Lined - Accent 5"/>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15">
    <w:name w:val="Lined - Accent 6"/>
    <w:basedOn w:val="12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16">
    <w:name w:val="Bordered &amp; Lined - Accent"/>
    <w:basedOn w:val="12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7">
    <w:name w:val="Bordered &amp; Lined - Accent 1"/>
    <w:basedOn w:val="12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8">
    <w:name w:val="Bordered &amp; Lined - Accent 2"/>
    <w:basedOn w:val="12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19">
    <w:name w:val="Bordered &amp; Lined - Accent 3"/>
    <w:basedOn w:val="12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20">
    <w:name w:val="Bordered &amp; Lined - Accent 4"/>
    <w:basedOn w:val="12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21">
    <w:name w:val="Bordered &amp; Lined - Accent 5"/>
    <w:basedOn w:val="12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22">
    <w:name w:val="Bordered &amp; Lined - Accent 6"/>
    <w:basedOn w:val="12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23">
    <w:name w:val="Bordered"/>
    <w:basedOn w:val="12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4">
    <w:name w:val="Bordered - Accent 1"/>
    <w:basedOn w:val="12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25">
    <w:name w:val="Bordered - Accent 2"/>
    <w:basedOn w:val="12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6">
    <w:name w:val="Bordered - Accent 3"/>
    <w:basedOn w:val="12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7">
    <w:name w:val="Bordered - Accent 4"/>
    <w:basedOn w:val="12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8">
    <w:name w:val="Bordered - Accent 5"/>
    <w:basedOn w:val="12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9">
    <w:name w:val="Bordered - Accent 6"/>
    <w:basedOn w:val="12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0">
    <w:name w:val="Hyperlink"/>
    <w:uiPriority w:val="99"/>
    <w:unhideWhenUsed/>
    <w:rPr>
      <w:color w:val="0000ff" w:themeColor="hyperlink"/>
      <w:u w:val="single"/>
    </w:rPr>
  </w:style>
  <w:style w:type="paragraph" w:styleId="1231">
    <w:name w:val="footnote text"/>
    <w:basedOn w:val="1248"/>
    <w:link w:val="1232"/>
    <w:uiPriority w:val="99"/>
    <w:semiHidden/>
    <w:unhideWhenUsed/>
    <w:pPr>
      <w:spacing w:after="40" w:line="240" w:lineRule="auto"/>
    </w:pPr>
    <w:rPr>
      <w:sz w:val="18"/>
    </w:rPr>
  </w:style>
  <w:style w:type="character" w:styleId="1232">
    <w:name w:val="Footnote Text Char"/>
    <w:link w:val="1231"/>
    <w:uiPriority w:val="99"/>
    <w:rPr>
      <w:sz w:val="18"/>
    </w:rPr>
  </w:style>
  <w:style w:type="character" w:styleId="1233">
    <w:name w:val="footnote reference"/>
    <w:basedOn w:val="1251"/>
    <w:uiPriority w:val="99"/>
    <w:unhideWhenUsed/>
    <w:rPr>
      <w:vertAlign w:val="superscript"/>
    </w:rPr>
  </w:style>
  <w:style w:type="paragraph" w:styleId="1234">
    <w:name w:val="endnote text"/>
    <w:basedOn w:val="1248"/>
    <w:link w:val="1235"/>
    <w:uiPriority w:val="99"/>
    <w:semiHidden/>
    <w:unhideWhenUsed/>
    <w:pPr>
      <w:spacing w:after="0" w:line="240" w:lineRule="auto"/>
    </w:pPr>
    <w:rPr>
      <w:sz w:val="20"/>
    </w:rPr>
  </w:style>
  <w:style w:type="character" w:styleId="1235">
    <w:name w:val="Endnote Text Char"/>
    <w:link w:val="1234"/>
    <w:uiPriority w:val="99"/>
    <w:rPr>
      <w:sz w:val="20"/>
    </w:rPr>
  </w:style>
  <w:style w:type="character" w:styleId="1236">
    <w:name w:val="endnote reference"/>
    <w:basedOn w:val="1251"/>
    <w:uiPriority w:val="99"/>
    <w:semiHidden/>
    <w:unhideWhenUsed/>
    <w:rPr>
      <w:vertAlign w:val="superscript"/>
    </w:rPr>
  </w:style>
  <w:style w:type="paragraph" w:styleId="1237">
    <w:name w:val="toc 1"/>
    <w:basedOn w:val="1248"/>
    <w:next w:val="1248"/>
    <w:uiPriority w:val="39"/>
    <w:unhideWhenUsed/>
    <w:pPr>
      <w:ind w:left="0" w:right="0" w:firstLine="0"/>
      <w:spacing w:after="57"/>
    </w:pPr>
  </w:style>
  <w:style w:type="paragraph" w:styleId="1238">
    <w:name w:val="toc 2"/>
    <w:basedOn w:val="1248"/>
    <w:next w:val="1248"/>
    <w:uiPriority w:val="39"/>
    <w:unhideWhenUsed/>
    <w:pPr>
      <w:ind w:left="283" w:right="0" w:firstLine="0"/>
      <w:spacing w:after="57"/>
    </w:pPr>
  </w:style>
  <w:style w:type="paragraph" w:styleId="1239">
    <w:name w:val="toc 3"/>
    <w:basedOn w:val="1248"/>
    <w:next w:val="1248"/>
    <w:uiPriority w:val="39"/>
    <w:unhideWhenUsed/>
    <w:pPr>
      <w:ind w:left="567" w:right="0" w:firstLine="0"/>
      <w:spacing w:after="57"/>
    </w:pPr>
  </w:style>
  <w:style w:type="paragraph" w:styleId="1240">
    <w:name w:val="toc 4"/>
    <w:basedOn w:val="1248"/>
    <w:next w:val="1248"/>
    <w:uiPriority w:val="39"/>
    <w:unhideWhenUsed/>
    <w:pPr>
      <w:ind w:left="850" w:right="0" w:firstLine="0"/>
      <w:spacing w:after="57"/>
    </w:pPr>
  </w:style>
  <w:style w:type="paragraph" w:styleId="1241">
    <w:name w:val="toc 5"/>
    <w:basedOn w:val="1248"/>
    <w:next w:val="1248"/>
    <w:uiPriority w:val="39"/>
    <w:unhideWhenUsed/>
    <w:pPr>
      <w:ind w:left="1134" w:right="0" w:firstLine="0"/>
      <w:spacing w:after="57"/>
    </w:pPr>
  </w:style>
  <w:style w:type="paragraph" w:styleId="1242">
    <w:name w:val="toc 6"/>
    <w:basedOn w:val="1248"/>
    <w:next w:val="1248"/>
    <w:uiPriority w:val="39"/>
    <w:unhideWhenUsed/>
    <w:pPr>
      <w:ind w:left="1417" w:right="0" w:firstLine="0"/>
      <w:spacing w:after="57"/>
    </w:pPr>
  </w:style>
  <w:style w:type="paragraph" w:styleId="1243">
    <w:name w:val="toc 7"/>
    <w:basedOn w:val="1248"/>
    <w:next w:val="1248"/>
    <w:uiPriority w:val="39"/>
    <w:unhideWhenUsed/>
    <w:pPr>
      <w:ind w:left="1701" w:right="0" w:firstLine="0"/>
      <w:spacing w:after="57"/>
    </w:pPr>
  </w:style>
  <w:style w:type="paragraph" w:styleId="1244">
    <w:name w:val="toc 8"/>
    <w:basedOn w:val="1248"/>
    <w:next w:val="1248"/>
    <w:uiPriority w:val="39"/>
    <w:unhideWhenUsed/>
    <w:pPr>
      <w:ind w:left="1984" w:right="0" w:firstLine="0"/>
      <w:spacing w:after="57"/>
    </w:pPr>
  </w:style>
  <w:style w:type="paragraph" w:styleId="1245">
    <w:name w:val="toc 9"/>
    <w:basedOn w:val="1248"/>
    <w:next w:val="1248"/>
    <w:uiPriority w:val="39"/>
    <w:unhideWhenUsed/>
    <w:pPr>
      <w:ind w:left="2268" w:right="0" w:firstLine="0"/>
      <w:spacing w:after="57"/>
    </w:pPr>
  </w:style>
  <w:style w:type="paragraph" w:styleId="1246">
    <w:name w:val="TOC Heading"/>
    <w:uiPriority w:val="39"/>
    <w:unhideWhenUsed/>
  </w:style>
  <w:style w:type="paragraph" w:styleId="1247">
    <w:name w:val="table of figures"/>
    <w:basedOn w:val="1248"/>
    <w:next w:val="1248"/>
    <w:uiPriority w:val="99"/>
    <w:unhideWhenUsed/>
    <w:pPr>
      <w:spacing w:after="0" w:afterAutospacing="0"/>
    </w:pPr>
  </w:style>
  <w:style w:type="paragraph" w:styleId="124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49">
    <w:name w:val="Heading 2"/>
    <w:basedOn w:val="1248"/>
    <w:next w:val="1248"/>
    <w:uiPriority w:val="0"/>
    <w:unhideWhenUsed/>
    <w:qFormat/>
    <w:pPr>
      <w:jc w:val="left"/>
      <w:spacing w:before="0" w:beforeAutospacing="1" w:after="0" w:afterAutospacing="1"/>
      <w:outlineLvl w:val="1"/>
    </w:pPr>
    <w:rPr>
      <w:rFonts w:hint="eastAsia" w:ascii="宋体" w:hAnsi="宋体" w:eastAsia="宋体" w:cs="宋体"/>
      <w:b/>
      <w:bCs/>
      <w:sz w:val="36"/>
      <w:szCs w:val="36"/>
      <w:lang w:val="en-US" w:eastAsia="zh-CN" w:bidi="ar"/>
    </w:rPr>
  </w:style>
  <w:style w:type="paragraph" w:styleId="1250">
    <w:name w:val="Heading 3"/>
    <w:basedOn w:val="1248"/>
    <w:next w:val="1248"/>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251" w:default="1">
    <w:name w:val="Default Paragraph Font"/>
    <w:uiPriority w:val="1"/>
    <w:unhideWhenUsed/>
    <w:qFormat/>
  </w:style>
  <w:style w:type="table" w:styleId="1252" w:default="1">
    <w:name w:val="Normal Table"/>
    <w:uiPriority w:val="99"/>
    <w:unhideWhenUsed/>
    <w:qFormat/>
    <w:tblPr>
      <w:tblCellMar>
        <w:left w:w="108" w:type="dxa"/>
        <w:top w:w="0" w:type="dxa"/>
        <w:right w:w="108" w:type="dxa"/>
        <w:bottom w:w="0" w:type="dxa"/>
      </w:tblCellMar>
    </w:tblPr>
  </w:style>
  <w:style w:type="paragraph" w:styleId="1253">
    <w:name w:val="annotation text"/>
    <w:basedOn w:val="1248"/>
    <w:uiPriority w:val="0"/>
    <w:qFormat/>
    <w:pPr>
      <w:jc w:val="left"/>
    </w:pPr>
  </w:style>
  <w:style w:type="paragraph" w:styleId="1254">
    <w:name w:val="Body Text"/>
    <w:basedOn w:val="1248"/>
    <w:uiPriority w:val="0"/>
    <w:unhideWhenUsed/>
    <w:qFormat/>
    <w:pPr>
      <w:spacing w:after="120"/>
    </w:pPr>
    <w:rPr>
      <w:rFonts w:ascii="Calibri" w:hAnsi="Calibri"/>
      <w:szCs w:val="22"/>
    </w:rPr>
  </w:style>
  <w:style w:type="paragraph" w:styleId="1255">
    <w:name w:val="Plain Text"/>
    <w:basedOn w:val="1248"/>
    <w:uiPriority w:val="0"/>
    <w:unhideWhenUsed/>
    <w:qFormat/>
    <w:rPr>
      <w:rFonts w:ascii="宋体" w:hAnsi="Courier New" w:cs="Courier New"/>
      <w:szCs w:val="21"/>
    </w:rPr>
  </w:style>
  <w:style w:type="paragraph" w:styleId="1256">
    <w:name w:val="Footer"/>
    <w:basedOn w:val="1248"/>
    <w:link w:val="1265"/>
    <w:uiPriority w:val="0"/>
    <w:qFormat/>
    <w:pPr>
      <w:jc w:val="left"/>
      <w:tabs>
        <w:tab w:val="center" w:pos="4153" w:leader="none"/>
        <w:tab w:val="right" w:pos="8306" w:leader="none"/>
      </w:tabs>
    </w:pPr>
    <w:rPr>
      <w:sz w:val="18"/>
      <w:szCs w:val="18"/>
    </w:rPr>
  </w:style>
  <w:style w:type="paragraph" w:styleId="1257">
    <w:name w:val="Header"/>
    <w:basedOn w:val="1248"/>
    <w:link w:val="1264"/>
    <w:uiPriority w:val="0"/>
    <w:qFormat/>
    <w:pPr>
      <w:jc w:val="center"/>
      <w:tabs>
        <w:tab w:val="center" w:pos="4153" w:leader="none"/>
        <w:tab w:val="right" w:pos="8306" w:leader="none"/>
      </w:tabs>
      <w:pBdr>
        <w:bottom w:val="single" w:color="auto" w:sz="6" w:space="1"/>
      </w:pBdr>
    </w:pPr>
    <w:rPr>
      <w:sz w:val="18"/>
      <w:szCs w:val="18"/>
    </w:rPr>
  </w:style>
  <w:style w:type="paragraph" w:styleId="1258">
    <w:name w:val="index 9"/>
    <w:basedOn w:val="1248"/>
    <w:next w:val="1248"/>
    <w:uiPriority w:val="99"/>
    <w:unhideWhenUsed/>
    <w:qFormat/>
    <w:pPr>
      <w:ind w:left="1600"/>
    </w:pPr>
  </w:style>
  <w:style w:type="paragraph" w:styleId="1259">
    <w:name w:val="Normal (Web)"/>
    <w:basedOn w:val="1248"/>
    <w:uiPriority w:val="0"/>
    <w:qFormat/>
    <w:pPr>
      <w:jc w:val="left"/>
      <w:spacing w:beforeAutospacing="1" w:afterAutospacing="1"/>
    </w:pPr>
    <w:rPr>
      <w:rFonts w:cs="Times New Roman"/>
      <w:sz w:val="24"/>
    </w:rPr>
  </w:style>
  <w:style w:type="table" w:styleId="12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1">
    <w:name w:val="Strong"/>
    <w:basedOn w:val="1251"/>
    <w:uiPriority w:val="0"/>
    <w:qFormat/>
    <w:rPr>
      <w:b/>
    </w:rPr>
  </w:style>
  <w:style w:type="character" w:styleId="1262">
    <w:name w:val="Emphasis"/>
    <w:uiPriority w:val="0"/>
    <w:qFormat/>
    <w:rPr>
      <w:i/>
    </w:rPr>
  </w:style>
  <w:style w:type="paragraph" w:styleId="1263" w:customStyle="1">
    <w:name w:val="Default"/>
    <w:basedOn w:val="1248"/>
    <w:uiPriority w:val="0"/>
    <w:semiHidden/>
    <w:qFormat/>
    <w:pPr>
      <w:jc w:val="left"/>
    </w:pPr>
    <w:rPr>
      <w:rFonts w:ascii="宋体" w:hAnsi="Calibri" w:cs="宋体"/>
      <w:color w:val="000000"/>
      <w:sz w:val="24"/>
    </w:rPr>
  </w:style>
  <w:style w:type="character" w:styleId="1264" w:customStyle="1">
    <w:name w:val="页眉 Char"/>
    <w:basedOn w:val="1251"/>
    <w:link w:val="1257"/>
    <w:uiPriority w:val="0"/>
    <w:qFormat/>
    <w:rPr>
      <w:rFonts w:asciiTheme="minorHAnsi" w:hAnsiTheme="minorHAnsi" w:eastAsiaTheme="minorEastAsia" w:cstheme="minorBidi"/>
      <w:sz w:val="18"/>
      <w:szCs w:val="18"/>
    </w:rPr>
  </w:style>
  <w:style w:type="character" w:styleId="1265" w:customStyle="1">
    <w:name w:val="页脚 Char"/>
    <w:basedOn w:val="1251"/>
    <w:link w:val="1256"/>
    <w:uiPriority w:val="0"/>
    <w:qFormat/>
    <w:rPr>
      <w:rFonts w:asciiTheme="minorHAnsi" w:hAnsiTheme="minorHAnsi" w:eastAsiaTheme="minorEastAsia" w:cstheme="minorBidi"/>
      <w:sz w:val="18"/>
      <w:szCs w:val="18"/>
    </w:rPr>
  </w:style>
  <w:style w:type="paragraph" w:styleId="12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67" w:customStyle="1">
    <w:name w:val="页脚1"/>
    <w:basedOn w:val="1248"/>
    <w:uiPriority w:val="99"/>
    <w:unhideWhenUsed/>
    <w:qFormat/>
    <w:pPr>
      <w:jc w:val="left"/>
      <w:tabs>
        <w:tab w:val="center" w:pos="4153" w:leader="none"/>
        <w:tab w:val="right" w:pos="8306" w:leader="none"/>
      </w:tabs>
    </w:pPr>
    <w:rPr>
      <w:sz w:val="18"/>
      <w:szCs w:val="18"/>
    </w:rPr>
  </w:style>
  <w:style w:type="paragraph" w:styleId="1268" w:customStyle="1">
    <w:name w:val="普通正文"/>
    <w:basedOn w:val="1248"/>
    <w:uiPriority w:val="0"/>
    <w:qFormat/>
    <w:pPr>
      <w:ind w:firstLine="480"/>
      <w:jc w:val="left"/>
      <w:spacing w:before="120" w:after="120" w:line="360" w:lineRule="auto"/>
    </w:pPr>
    <w:rPr>
      <w:rFonts w:ascii="Arial" w:hAnsi="Arial" w:eastAsia="等线" w:cs="Arial"/>
      <w:sz w:val="24"/>
      <w:szCs w:val="24"/>
    </w:rPr>
  </w:style>
  <w:style w:type="paragraph" w:styleId="1269" w:customStyle="1">
    <w:name w:val="正文首行缩进 21"/>
    <w:basedOn w:val="1270"/>
    <w:uiPriority w:val="0"/>
    <w:qFormat/>
    <w:pPr>
      <w:ind w:firstLine="420"/>
    </w:pPr>
  </w:style>
  <w:style w:type="paragraph" w:styleId="1270" w:customStyle="1">
    <w:name w:val="正文文本缩进1"/>
    <w:basedOn w:val="1248"/>
    <w:uiPriority w:val="0"/>
    <w:qFormat/>
    <w:pPr>
      <w:ind w:left="420"/>
      <w:spacing w:after="120"/>
    </w:pPr>
  </w:style>
  <w:style w:type="paragraph" w:styleId="1271" w:customStyle="1">
    <w:name w:val="表格文字"/>
    <w:uiPriority w:val="0"/>
    <w:qFormat/>
    <w:pPr>
      <w:widowControl w:val="off"/>
    </w:pPr>
    <w:rPr>
      <w:rFonts w:ascii="Calibri" w:hAnsi="Calibri" w:eastAsia="仿宋" w:cs="Times New Roman"/>
      <w:sz w:val="28"/>
      <w:szCs w:val="22"/>
      <w:lang w:val="en-US" w:eastAsia="zh-CN" w:bidi="ar-SA"/>
      <w14:ligatures w14:val="standardContextual"/>
    </w:rPr>
  </w:style>
  <w:style w:type="paragraph" w:styleId="1272" w:customStyle="1">
    <w:name w:val="普通(网站)1"/>
    <w:basedOn w:val="1248"/>
    <w:uiPriority w:val="0"/>
    <w:qFormat/>
    <w:pPr>
      <w:jc w:val="left"/>
      <w:spacing w:beforeAutospacing="1" w:afterAutospacing="1"/>
    </w:pPr>
    <w:rPr>
      <w:rFonts w:cs="Times New Roman"/>
      <w:sz w:val="24"/>
    </w:rPr>
  </w:style>
  <w:style w:type="character" w:styleId="1273" w:customStyle="1">
    <w:name w:val="font01"/>
    <w:basedOn w:val="1251"/>
    <w:uiPriority w:val="0"/>
    <w:qFormat/>
    <w:rPr>
      <w:rFonts w:hint="eastAsia" w:ascii="宋体" w:hAnsi="宋体" w:eastAsia="宋体" w:cs="宋体"/>
      <w:color w:val="000000"/>
      <w:sz w:val="22"/>
      <w:szCs w:val="22"/>
      <w:u w:val="none"/>
    </w:rPr>
  </w:style>
  <w:style w:type="paragraph" w:styleId="1274" w:customStyle="1">
    <w:name w:val="列表段落1"/>
    <w:basedOn w:val="1275"/>
    <w:next w:val="1248"/>
    <w:uiPriority w:val="99"/>
    <w:qFormat/>
    <w:pPr>
      <w:ind w:firstLine="420"/>
    </w:pPr>
  </w:style>
  <w:style w:type="paragraph" w:styleId="1275" w:customStyle="1">
    <w:name w:val="正文1"/>
    <w:basedOn w:val="1276"/>
    <w:next w:val="1284"/>
    <w:uiPriority w:val="0"/>
    <w:qFormat/>
    <w:pPr>
      <w:ind w:right="-167"/>
      <w:spacing w:line="440" w:lineRule="exact"/>
      <w:widowControl/>
    </w:pPr>
    <w:rPr>
      <w:b/>
      <w:sz w:val="21"/>
      <w:szCs w:val="20"/>
    </w:rPr>
  </w:style>
  <w:style w:type="paragraph" w:styleId="1276" w:customStyle="1">
    <w:name w:val="正文11"/>
    <w:next w:val="1277"/>
    <w:uiPriority w:val="0"/>
    <w:qFormat/>
    <w:pPr>
      <w:jc w:val="both"/>
      <w:widowControl w:val="off"/>
    </w:pPr>
    <w:rPr>
      <w:rFonts w:hint="default" w:ascii="Times New Roman" w:hAnsi="Times New Roman" w:eastAsia="Arial" w:cs="Times New Roman"/>
      <w:lang w:val="en-US" w:eastAsia="zh-CN" w:bidi="ar-SA"/>
    </w:rPr>
  </w:style>
  <w:style w:type="paragraph" w:styleId="1277" w:customStyle="1">
    <w:name w:val="目录 11"/>
    <w:basedOn w:val="1278"/>
    <w:next w:val="1276"/>
    <w:uiPriority w:val="0"/>
    <w:qFormat/>
    <w:pPr>
      <w:jc w:val="left"/>
      <w:spacing w:before="120" w:after="120"/>
      <w:widowControl/>
    </w:pPr>
    <w:rPr>
      <w:rFonts w:cs="Calibri"/>
      <w:b/>
      <w:bCs/>
      <w:caps/>
      <w:sz w:val="20"/>
      <w:szCs w:val="20"/>
    </w:rPr>
  </w:style>
  <w:style w:type="paragraph" w:styleId="1278" w:customStyle="1">
    <w:name w:val="正文12"/>
    <w:next w:val="1279"/>
    <w:uiPriority w:val="0"/>
    <w:qFormat/>
    <w:pPr>
      <w:jc w:val="both"/>
      <w:widowControl w:val="off"/>
    </w:pPr>
    <w:rPr>
      <w:rFonts w:hint="default" w:ascii="Calibri" w:hAnsi="Calibri" w:eastAsia="宋体" w:cs="Times New Roman"/>
      <w:sz w:val="21"/>
      <w:szCs w:val="24"/>
      <w:lang w:val="en-US" w:eastAsia="zh-CN" w:bidi="ar-SA"/>
    </w:rPr>
  </w:style>
  <w:style w:type="paragraph" w:styleId="1279" w:customStyle="1">
    <w:name w:val="正文文本11"/>
    <w:basedOn w:val="1280"/>
    <w:next w:val="1281"/>
    <w:uiPriority w:val="0"/>
    <w:qFormat/>
    <w:pPr>
      <w:spacing w:after="120"/>
    </w:pPr>
  </w:style>
  <w:style w:type="paragraph" w:styleId="1280" w:customStyle="1">
    <w:name w:val="正文112"/>
    <w:next w:val="12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一级条标题"/>
    <w:basedOn w:val="1282"/>
    <w:next w:val="1283"/>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1282" w:customStyle="1">
    <w:name w:val="章标题"/>
    <w:next w:val="124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83" w:customStyle="1">
    <w:name w:val="段"/>
    <w:next w:val="124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284" w:customStyle="1">
    <w:name w:val="正文文本1"/>
    <w:basedOn w:val="1275"/>
    <w:next w:val="1275"/>
    <w:uiPriority w:val="0"/>
    <w:qFormat/>
    <w:pPr>
      <w:spacing w:after="120"/>
    </w:pPr>
    <w:rPr>
      <w:lang w:eastAsia="en-US"/>
    </w:r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121</cp:revision>
  <dcterms:created xsi:type="dcterms:W3CDTF">2014-10-29T12:08:00Z</dcterms:created>
  <dcterms:modified xsi:type="dcterms:W3CDTF">2026-08-12T07:17:23Z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7B14EA13B29F4F699464C38A5D711150_13</vt:lpwstr>
  </property>
  <property fmtid="{D5CDD505-2E9C-101B-9397-08002B2CF9AE}" pid="3" name="KSOProductBuildVer">
    <vt:lpwstr>2052-12.1.0.28043</vt:lpwstr>
  </property>
  <property fmtid="{D5CDD505-2E9C-101B-9397-08002B2CF9AE}" pid="4" name="KSOTemplateDocerSaveRecord">
    <vt:lpwstr>eyJoZGlkIjoiZDM5MTIyMjY0NDYyNDYwYjljZmJmOTA3ZGIwZTBhMDUiLCJ1c2VySWQiOiIxMDc1NDEyMTE5In0=</vt:lpwstr>
  </property>
</Properties>
</file>